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15" w:rsidRPr="00215830" w:rsidRDefault="00DA12C5" w:rsidP="00215830">
      <w:pPr>
        <w:ind w:left="-142"/>
        <w:rPr>
          <w:lang w:val="en-US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5.6pt;margin-top:87.9pt;width:448.8pt;height:680.85pt;z-index:251660288;mso-width-relative:margin;mso-height-relative:margin" stroked="f">
            <v:textbox style="mso-next-textbox:#_x0000_s1026">
              <w:txbxContent>
                <w:p w:rsidR="004B1B0A" w:rsidRPr="004B1B0A" w:rsidRDefault="004B1B0A" w:rsidP="004B1B0A">
                  <w:pPr>
                    <w:pStyle w:val="1"/>
                    <w:jc w:val="center"/>
                    <w:rPr>
                      <w:sz w:val="25"/>
                      <w:szCs w:val="25"/>
                    </w:rPr>
                  </w:pPr>
                  <w:r w:rsidRPr="00B81F37">
                    <w:rPr>
                      <w:rStyle w:val="12"/>
                    </w:rPr>
                    <w:t xml:space="preserve">Информация о порядке возмещения </w:t>
                  </w:r>
                  <w:r w:rsidR="00D959C0">
                    <w:rPr>
                      <w:rStyle w:val="12"/>
                    </w:rPr>
                    <w:t xml:space="preserve">вреда, </w:t>
                  </w:r>
                  <w:r w:rsidR="00D959C0" w:rsidRPr="00B81F37">
                    <w:rPr>
                      <w:rStyle w:val="12"/>
                    </w:rPr>
                    <w:t xml:space="preserve">причиненного заявителю </w:t>
                  </w:r>
                  <w:r w:rsidRPr="00B81F37">
                    <w:rPr>
                      <w:rStyle w:val="12"/>
                    </w:rPr>
                    <w:t>в результате неисполнения</w:t>
                  </w:r>
                  <w:r w:rsidRPr="004B1B0A">
                    <w:rPr>
                      <w:sz w:val="25"/>
                      <w:szCs w:val="25"/>
                    </w:rPr>
                    <w:t xml:space="preserve"> </w:t>
                  </w:r>
                  <w:r w:rsidR="00D959C0">
                    <w:rPr>
                      <w:sz w:val="25"/>
                      <w:szCs w:val="25"/>
                    </w:rPr>
                    <w:t>обязанностей</w:t>
                  </w:r>
                  <w:r w:rsidR="00D959C0" w:rsidRPr="00D959C0">
                    <w:rPr>
                      <w:sz w:val="25"/>
                      <w:szCs w:val="25"/>
                    </w:rPr>
                    <w:t xml:space="preserve"> </w:t>
                  </w:r>
                  <w:r w:rsidR="00D959C0">
                    <w:rPr>
                      <w:sz w:val="25"/>
                      <w:szCs w:val="25"/>
                    </w:rPr>
                    <w:t xml:space="preserve">МФЦ </w:t>
                  </w: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Вред,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обязанностей, предусмотренных Федеральным законом от 27 июля 2010 г. № 210-ФЗ «Об организации предоставления государственных и муниципальных услуг»,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законодательством Российской Федерации.</w:t>
                  </w: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sz w:val="25"/>
                      <w:szCs w:val="25"/>
                    </w:rPr>
                  </w:pP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(</w:t>
                  </w:r>
                  <w:r w:rsidR="00522BC2" w:rsidRPr="00522BC2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часть 6 статьи 16</w:t>
                  </w:r>
                  <w:r w:rsidR="00522BC2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 xml:space="preserve"> </w:t>
                  </w: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Федерального закона от 27 июля 2010 г. № 210-ФЗ «Об организации предоставления государственных и муниципальных услуг»)</w:t>
                  </w: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sz w:val="25"/>
                      <w:szCs w:val="25"/>
                    </w:rPr>
                  </w:pP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Законом обязанность возмещения вреда может быть возложена на лицо, не являющееся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причинителем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Законом или договором может быть установлена обязанность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причинителя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 выплатить потерпевшим компенсацию сверх возмещения вреда. Законом может быть установлена обязанность лица, не являющегося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причинителем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вреда, выплатить потерпевшим компенсацию сверх возмещения вреда.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Лицо, причинившее вред, освобождается от возмещения вреда, если докажет, что вред причинен не по его вине. Законом может быть предусмотрено возмещение вреда и при отсутствии вины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причинителя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Вред, причиненный правомерными действиями, подлежит возмещению в случаях, предусмотренных законом.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В возмещении вреда может быть отказано, если вред причинен по просьбе или с согласия потерпевшего, а действия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причинителя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 не нарушают нравственные принципы общества.</w:t>
                  </w: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sz w:val="25"/>
                      <w:szCs w:val="25"/>
                    </w:rPr>
                  </w:pP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(</w:t>
                  </w:r>
                  <w:r w:rsidR="00522BC2" w:rsidRPr="00522BC2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статья 1064</w:t>
                  </w: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 xml:space="preserve"> Гражданского кодекса Российской Федерации от 30 ноября 1994 г. № 51-ФЗ)</w:t>
                  </w:r>
                </w:p>
                <w:p w:rsidR="004B1B0A" w:rsidRDefault="004B1B0A" w:rsidP="004B1B0A">
                  <w:pPr>
                    <w:rPr>
                      <w:rFonts w:cs="Arial"/>
                      <w:sz w:val="25"/>
                      <w:szCs w:val="25"/>
                    </w:rPr>
                  </w:pPr>
                </w:p>
                <w:p w:rsidR="00DA12C5" w:rsidRDefault="00DA12C5" w:rsidP="004B1B0A">
                  <w:pPr>
                    <w:rPr>
                      <w:rFonts w:cs="Arial"/>
                      <w:sz w:val="25"/>
                      <w:szCs w:val="25"/>
                    </w:rPr>
                  </w:pPr>
                </w:p>
                <w:p w:rsidR="00DA12C5" w:rsidRPr="004B1B0A" w:rsidRDefault="00DA12C5" w:rsidP="004B1B0A">
                  <w:pPr>
                    <w:rPr>
                      <w:rFonts w:cs="Arial"/>
                      <w:sz w:val="25"/>
                      <w:szCs w:val="25"/>
                    </w:rPr>
                  </w:pPr>
                </w:p>
                <w:p w:rsidR="005B6900" w:rsidRPr="004B1B0A" w:rsidRDefault="00DA12C5">
                  <w:pPr>
                    <w:rPr>
                      <w:sz w:val="25"/>
                      <w:szCs w:val="25"/>
                    </w:rPr>
                  </w:pPr>
                  <w:bookmarkStart w:id="0" w:name="_GoBack"/>
                  <w:bookmarkEnd w:id="0"/>
                  <w:r w:rsidRPr="00DA12C5">
                    <w:rPr>
                      <w:sz w:val="25"/>
                      <w:szCs w:val="25"/>
                    </w:rPr>
                    <w:t>kagalnitskiy.mfc61.ru</w:t>
                  </w:r>
                </w:p>
              </w:txbxContent>
            </v:textbox>
          </v:shape>
        </w:pict>
      </w:r>
      <w:r w:rsidR="00215830">
        <w:rPr>
          <w:lang w:val="en-US"/>
        </w:rPr>
        <w:t xml:space="preserve"> </w:t>
      </w:r>
      <w:r w:rsidR="00215830">
        <w:rPr>
          <w:noProof/>
          <w:lang w:eastAsia="ru-RU"/>
        </w:rPr>
        <w:drawing>
          <wp:inline distT="0" distB="0" distL="0" distR="0">
            <wp:extent cx="7534275" cy="10706100"/>
            <wp:effectExtent l="19050" t="0" r="9525" b="0"/>
            <wp:docPr id="1" name="Рисунок 1" descr="C:\Users\anton.sorokin\Desktop\b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.sorokin\Desktop\bg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5431C"/>
    <w:rsid w:val="00057586"/>
    <w:rsid w:val="00072B74"/>
    <w:rsid w:val="000772A0"/>
    <w:rsid w:val="00077DEB"/>
    <w:rsid w:val="000B0D9A"/>
    <w:rsid w:val="000B3F3E"/>
    <w:rsid w:val="000C786B"/>
    <w:rsid w:val="000D2BE1"/>
    <w:rsid w:val="000D4393"/>
    <w:rsid w:val="000D614A"/>
    <w:rsid w:val="000E12F5"/>
    <w:rsid w:val="0011727A"/>
    <w:rsid w:val="001404EB"/>
    <w:rsid w:val="00165405"/>
    <w:rsid w:val="001706E9"/>
    <w:rsid w:val="00171380"/>
    <w:rsid w:val="00172977"/>
    <w:rsid w:val="0018078F"/>
    <w:rsid w:val="00184AB2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210815"/>
    <w:rsid w:val="002151F0"/>
    <w:rsid w:val="00215830"/>
    <w:rsid w:val="00216824"/>
    <w:rsid w:val="002277F2"/>
    <w:rsid w:val="002372DF"/>
    <w:rsid w:val="00265DE7"/>
    <w:rsid w:val="00277271"/>
    <w:rsid w:val="00277CE8"/>
    <w:rsid w:val="0029033F"/>
    <w:rsid w:val="00291283"/>
    <w:rsid w:val="002A01EA"/>
    <w:rsid w:val="002A78D6"/>
    <w:rsid w:val="002B0614"/>
    <w:rsid w:val="002D5E37"/>
    <w:rsid w:val="002E3359"/>
    <w:rsid w:val="002F2509"/>
    <w:rsid w:val="002F2638"/>
    <w:rsid w:val="002F2BE3"/>
    <w:rsid w:val="002F333F"/>
    <w:rsid w:val="002F3815"/>
    <w:rsid w:val="002F7B8B"/>
    <w:rsid w:val="00304AB4"/>
    <w:rsid w:val="00325EBA"/>
    <w:rsid w:val="003373D7"/>
    <w:rsid w:val="00337871"/>
    <w:rsid w:val="00341ADB"/>
    <w:rsid w:val="0037126E"/>
    <w:rsid w:val="00376798"/>
    <w:rsid w:val="003A0E4F"/>
    <w:rsid w:val="003A395F"/>
    <w:rsid w:val="003A67D7"/>
    <w:rsid w:val="003A70E4"/>
    <w:rsid w:val="003A7E52"/>
    <w:rsid w:val="003D1650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B1B0A"/>
    <w:rsid w:val="004D09DA"/>
    <w:rsid w:val="00507E6A"/>
    <w:rsid w:val="00510AD8"/>
    <w:rsid w:val="00511109"/>
    <w:rsid w:val="005160DA"/>
    <w:rsid w:val="005229FE"/>
    <w:rsid w:val="00522BC2"/>
    <w:rsid w:val="00582687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701D3"/>
    <w:rsid w:val="00687183"/>
    <w:rsid w:val="006B7F8B"/>
    <w:rsid w:val="006D0693"/>
    <w:rsid w:val="006E30E7"/>
    <w:rsid w:val="00710E30"/>
    <w:rsid w:val="0071394F"/>
    <w:rsid w:val="007237CB"/>
    <w:rsid w:val="00727E6A"/>
    <w:rsid w:val="0073465B"/>
    <w:rsid w:val="007640CC"/>
    <w:rsid w:val="00784E72"/>
    <w:rsid w:val="007A0011"/>
    <w:rsid w:val="007B3E01"/>
    <w:rsid w:val="007D1F89"/>
    <w:rsid w:val="007E7844"/>
    <w:rsid w:val="007F3FED"/>
    <w:rsid w:val="007F7048"/>
    <w:rsid w:val="00800D4F"/>
    <w:rsid w:val="0082716F"/>
    <w:rsid w:val="00842475"/>
    <w:rsid w:val="00857F7D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47061"/>
    <w:rsid w:val="009571C8"/>
    <w:rsid w:val="009678C1"/>
    <w:rsid w:val="009A2AB0"/>
    <w:rsid w:val="009B546D"/>
    <w:rsid w:val="009C2BAA"/>
    <w:rsid w:val="009D2B0C"/>
    <w:rsid w:val="009D5E26"/>
    <w:rsid w:val="00A0342E"/>
    <w:rsid w:val="00A1108B"/>
    <w:rsid w:val="00A12112"/>
    <w:rsid w:val="00A3687C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67F2"/>
    <w:rsid w:val="00B42C7F"/>
    <w:rsid w:val="00B44AF0"/>
    <w:rsid w:val="00B62404"/>
    <w:rsid w:val="00B64DC9"/>
    <w:rsid w:val="00B81F37"/>
    <w:rsid w:val="00B82F40"/>
    <w:rsid w:val="00B974DB"/>
    <w:rsid w:val="00BB3CA4"/>
    <w:rsid w:val="00BC52EC"/>
    <w:rsid w:val="00C00FBA"/>
    <w:rsid w:val="00C04B33"/>
    <w:rsid w:val="00C10B76"/>
    <w:rsid w:val="00C1454D"/>
    <w:rsid w:val="00C17DA6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F0464"/>
    <w:rsid w:val="00D12369"/>
    <w:rsid w:val="00D60EB1"/>
    <w:rsid w:val="00D873BF"/>
    <w:rsid w:val="00D931B5"/>
    <w:rsid w:val="00D959C0"/>
    <w:rsid w:val="00D964AF"/>
    <w:rsid w:val="00DA042B"/>
    <w:rsid w:val="00DA12C5"/>
    <w:rsid w:val="00DA47C3"/>
    <w:rsid w:val="00DC3987"/>
    <w:rsid w:val="00DD59BB"/>
    <w:rsid w:val="00DE133C"/>
    <w:rsid w:val="00DF5A81"/>
    <w:rsid w:val="00DF6693"/>
    <w:rsid w:val="00DF66C9"/>
    <w:rsid w:val="00DF7343"/>
    <w:rsid w:val="00E03BB5"/>
    <w:rsid w:val="00E07C9C"/>
    <w:rsid w:val="00E07E09"/>
    <w:rsid w:val="00E17326"/>
    <w:rsid w:val="00E262BE"/>
    <w:rsid w:val="00E40C4B"/>
    <w:rsid w:val="00E64BD0"/>
    <w:rsid w:val="00E70502"/>
    <w:rsid w:val="00E70D48"/>
    <w:rsid w:val="00E95E92"/>
    <w:rsid w:val="00E97465"/>
    <w:rsid w:val="00EB22A8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51EE1"/>
    <w:rsid w:val="00F76D47"/>
    <w:rsid w:val="00F776A2"/>
    <w:rsid w:val="00F95851"/>
    <w:rsid w:val="00FC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2926216-8E46-4AC1-976C-2BA0C054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user04</cp:lastModifiedBy>
  <cp:revision>12</cp:revision>
  <cp:lastPrinted>2015-11-16T08:24:00Z</cp:lastPrinted>
  <dcterms:created xsi:type="dcterms:W3CDTF">2014-09-03T13:40:00Z</dcterms:created>
  <dcterms:modified xsi:type="dcterms:W3CDTF">2015-12-16T06:53:00Z</dcterms:modified>
</cp:coreProperties>
</file>