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95" w:rsidRPr="006C7195" w:rsidRDefault="006C7195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ПЕРЕЧЕНЬ</w:t>
      </w:r>
    </w:p>
    <w:p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государственных и муниципальных услуг,</w:t>
      </w:r>
    </w:p>
    <w:p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оказываемых по принципу экстерриториальности</w:t>
      </w:r>
    </w:p>
    <w:p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на территории Ростовской области</w:t>
      </w:r>
    </w:p>
    <w:p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многофункциональными центрами предоставления </w:t>
      </w:r>
    </w:p>
    <w:p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государственных и муниципальных услуг</w:t>
      </w:r>
      <w:r w:rsidR="006C7195"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 </w:t>
      </w:r>
    </w:p>
    <w:p w:rsidR="009069B9" w:rsidRPr="006C7195" w:rsidRDefault="006C7195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от 1</w:t>
      </w:r>
      <w:r w:rsidR="00D4323D">
        <w:rPr>
          <w:rFonts w:ascii="Times New Roman" w:hAnsi="Times New Roman" w:cs="Times New Roman"/>
          <w:color w:val="993300"/>
          <w:sz w:val="26"/>
          <w:szCs w:val="26"/>
        </w:rPr>
        <w:t>3</w:t>
      </w:r>
      <w:r w:rsidRPr="006C7195">
        <w:rPr>
          <w:rFonts w:ascii="Times New Roman" w:hAnsi="Times New Roman" w:cs="Times New Roman"/>
          <w:color w:val="993300"/>
          <w:sz w:val="26"/>
          <w:szCs w:val="26"/>
        </w:rPr>
        <w:t>.01.2025</w:t>
      </w:r>
    </w:p>
    <w:p w:rsidR="009069B9" w:rsidRPr="007307FD" w:rsidRDefault="009069B9" w:rsidP="009069B9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6D36D6" w:rsidRPr="005548C2" w:rsidTr="00B20D15">
        <w:trPr>
          <w:trHeight w:val="315"/>
          <w:tblHeader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6D36D6" w:rsidRPr="005548C2" w:rsidRDefault="006D36D6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FFFFFF" w:themeFill="background1"/>
            <w:vAlign w:val="center"/>
            <w:hideMark/>
          </w:tcPr>
          <w:p w:rsidR="006D36D6" w:rsidRPr="005548C2" w:rsidRDefault="006D36D6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Pr="00B20D15" w:rsidRDefault="00B20D15" w:rsidP="00B2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B20D15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Вид передачи результата услуги </w:t>
            </w:r>
          </w:p>
          <w:p w:rsidR="006D36D6" w:rsidRPr="005548C2" w:rsidRDefault="00B20D15" w:rsidP="00B2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B20D15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(электронный/бумажный)</w:t>
            </w:r>
          </w:p>
        </w:tc>
      </w:tr>
      <w:tr w:rsidR="009069B9" w:rsidRPr="005548C2" w:rsidTr="006D36D6">
        <w:trPr>
          <w:trHeight w:val="315"/>
          <w:tblHeader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9069B9" w:rsidRPr="005548C2" w:rsidRDefault="009069B9" w:rsidP="00BB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497" w:type="dxa"/>
            <w:gridSpan w:val="2"/>
            <w:shd w:val="clear" w:color="auto" w:fill="FFFFFF" w:themeFill="background1"/>
            <w:vAlign w:val="center"/>
          </w:tcPr>
          <w:p w:rsidR="009069B9" w:rsidRPr="005548C2" w:rsidRDefault="009069B9" w:rsidP="00BB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9069B9" w:rsidRPr="005548C2" w:rsidTr="009069B9">
        <w:trPr>
          <w:trHeight w:val="621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:rsidR="009069B9" w:rsidRPr="005548C2" w:rsidRDefault="009069B9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Государственные услуги в сфере социальной поддержки населения</w:t>
            </w:r>
          </w:p>
        </w:tc>
      </w:tr>
      <w:tr w:rsidR="006D36D6" w:rsidRPr="005548C2" w:rsidTr="00B20D15">
        <w:trPr>
          <w:trHeight w:val="62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  <w:hideMark/>
          </w:tcPr>
          <w:p w:rsidR="006D36D6" w:rsidRPr="005548C2" w:rsidRDefault="006D36D6" w:rsidP="00BB7A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ежегодной денежной выплаты гражданам, награжденным нагрудным знаком «Почетный донор СССР», «Почетный донор России»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6D36D6" w:rsidRPr="00B20D15" w:rsidRDefault="00B20D15" w:rsidP="00B20D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650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Default="00B20D15" w:rsidP="00B61E3A"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90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65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Компенсация расходов на уплату взносов на капит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альный ремонт общего имущества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многоквартирном доме отдельным категориям граждан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70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  <w:hideMark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561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71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  <w:hideMark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44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40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сертификата на региональный материнский капитал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57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20D15">
        <w:trPr>
          <w:trHeight w:val="55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6C719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C7195">
              <w:rPr>
                <w:rFonts w:ascii="Times New Roman" w:eastAsia="Calibri" w:hAnsi="Times New Roman" w:cs="Times New Roman"/>
                <w:iCs/>
                <w:color w:val="623B2A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:rsidTr="00B61E3A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D36D6" w:rsidRPr="005548C2" w:rsidRDefault="00B20D15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7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документов граждан для принятия решения о присво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ении им звания «Ветеран труда»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 выдача гражданам удостоверения ветерана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304BE5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73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категорий граждан в соответствии с принятыми нормативными актами субъекта Российской Федер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ации (прием документов граждан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304BE5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20D15" w:rsidRPr="005548C2" w:rsidTr="00B61E3A">
        <w:trPr>
          <w:trHeight w:val="40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Оплата расходов на газификацию домовладения (квартиры)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Default="00B20D15" w:rsidP="00B61E3A">
            <w:pPr>
              <w:jc w:val="center"/>
            </w:pPr>
            <w:r w:rsidRPr="00264BCF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:rsidTr="00B61E3A">
        <w:trPr>
          <w:trHeight w:val="57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Default="00B20D15" w:rsidP="00B61E3A">
            <w:pPr>
              <w:jc w:val="center"/>
            </w:pPr>
            <w:r w:rsidRPr="00264BCF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61E3A" w:rsidRPr="005548C2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Выплата компенсации за предоставленные услуги связи (абонентская плата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Pr="00B20D15" w:rsidRDefault="00B61E3A" w:rsidP="00B61E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61E3A" w:rsidRPr="005548C2" w:rsidTr="00B20D15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Снижение стоимости лекарств по рецепту врача на 50 процентов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:rsidTr="00B20D15">
        <w:trPr>
          <w:trHeight w:val="73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D36D6" w:rsidRPr="005548C2" w:rsidRDefault="006D36D6" w:rsidP="001F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гражданам удостоверений (дубликатов удосто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верений), подтверждающих право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 меры социальной поддержки в соответствии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 Федеральным законом от 12.01.1995 №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t> 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5-ФЗ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:rsidTr="00B20D15">
        <w:trPr>
          <w:trHeight w:val="84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информации, прием документов органами опеки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 попечительства от лиц, желающих установить опеку (попечительство)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или патронаж над определенной категорией граждан (лица, признанные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установленном законом порядке недееспособными)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:rsidTr="00B20D15">
        <w:trPr>
          <w:trHeight w:val="97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D36D6" w:rsidRPr="005548C2" w:rsidRDefault="006D36D6" w:rsidP="001F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Выплата компенсации за проезд в пределах территории Российской Федерации (туда и обратно) один раз в год железнодорожным транспортом, а в районах,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не имеющих железнодорожного сообщения, -50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:rsidTr="00B20D15">
        <w:trPr>
          <w:trHeight w:val="415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отдыха и оздоровления детей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:rsidTr="00B20D15">
        <w:trPr>
          <w:trHeight w:val="56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«Участник лик</w:t>
            </w:r>
            <w:r w:rsidR="00B61E3A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видации последствий катастрофы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</w:t>
            </w:r>
            <w:r w:rsidR="00B61E3A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ействием вследствие катастрофы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АЭС; ставшего (ей) инвалидом»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:rsidTr="00B20D15">
        <w:trPr>
          <w:trHeight w:val="38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Ежемесячная денежная выплата региональным льготникам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:rsidTr="00B20D15">
        <w:trPr>
          <w:trHeight w:val="42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6D36D6" w:rsidRPr="005548C2" w:rsidRDefault="00177787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:rsidTr="00B20D15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D36D6" w:rsidRPr="005548C2" w:rsidRDefault="00177787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177787" w:rsidRPr="005548C2" w:rsidTr="00177787">
        <w:trPr>
          <w:trHeight w:val="42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177787" w:rsidRPr="005548C2" w:rsidRDefault="00177787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177787" w:rsidRPr="005548C2" w:rsidRDefault="00177787" w:rsidP="00177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Принятие ре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шения о предоставлении услуг по </w:t>
            </w:r>
            <w:proofErr w:type="spellStart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сурдопереводу</w:t>
            </w:r>
            <w:proofErr w:type="spellEnd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инвалидам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по слуху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177787" w:rsidRDefault="00177787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177787" w:rsidRPr="005548C2" w:rsidTr="00B20D15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177787" w:rsidRPr="005548C2" w:rsidRDefault="00177787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177787" w:rsidRPr="005548C2" w:rsidRDefault="00177787" w:rsidP="001777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Принятие решения об обеспечении техническими и </w:t>
            </w:r>
            <w:proofErr w:type="spellStart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тифлотехническими</w:t>
            </w:r>
            <w:proofErr w:type="spellEnd"/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средствами реабилитации инвалидов с заболеванием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опорно-двигательного аппарата, </w:t>
            </w: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инвалидов по зрению, инвалидов по слуху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787" w:rsidRDefault="00177787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9069B9" w:rsidRPr="005548C2" w:rsidTr="009069B9">
        <w:trPr>
          <w:trHeight w:val="573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:rsidR="001C5B47" w:rsidRDefault="001C5B47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:rsidR="001C5B47" w:rsidRPr="001C5B47" w:rsidRDefault="009069B9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земельно-имущественных отношений</w:t>
            </w:r>
          </w:p>
          <w:p w:rsidR="009069B9" w:rsidRPr="001C5B47" w:rsidRDefault="001C5B47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</w:t>
            </w:r>
            <w:r w:rsidR="009069B9"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 xml:space="preserve"> </w:t>
            </w: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6D36D6" w:rsidRPr="005548C2" w:rsidTr="00B20D15">
        <w:trPr>
          <w:trHeight w:val="60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859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7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1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7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6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справки об отсутствии (наличии) задолженности по арендной плате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 земельный участок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6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муниципального имущества (за исключение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м земельных участков) в аренду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без проведения торгов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75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639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дополнительных соглашений к договорам 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ренды муниципального имущества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(за исключением земельных участков)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63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3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5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6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Передача в собственность граждан занимаемых им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 жилых помещений, находящихся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муниципальной собственности (приватизация муниципального жилого фонда)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3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Продажа земельного участка без проведения торгов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1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собственность бесплатно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7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7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разрешения на использование земель или земельных участков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без предоставления земельных участков и установления сервитута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5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земельного участка, находящегося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муниципальной собственности,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или государственная собственность на который не разграничена, на торгах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3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9069B9" w:rsidRPr="005548C2" w:rsidTr="009069B9">
        <w:trPr>
          <w:trHeight w:val="637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:rsidR="00D4323D" w:rsidRDefault="00D4323D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:rsidR="009069B9" w:rsidRPr="00D4323D" w:rsidRDefault="009069B9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архитектуры и градостроительства</w:t>
            </w:r>
          </w:p>
          <w:p w:rsidR="001C5B47" w:rsidRPr="005548C2" w:rsidRDefault="001C5B47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B61E3A" w:rsidRPr="005548C2" w:rsidTr="00B61E3A">
        <w:trPr>
          <w:trHeight w:val="115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разрешения на строительство объекта капитального строительства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(в том числе внесение изменений в разрешение на строительство объе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кта капитального строительства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 внесение изменений в разрешение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строительство объе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кта капитального строительства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связи с продлением срока действия такого разрешения)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0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разрешения на ввод объекта в эксплуатацию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6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Согласование проведения переустройства и (или) перепланировки помещения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br/>
              <w:t>в многоквартирном доме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62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градостроительного плана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Перевод жилого помещения в нежилое помещение и нежилого помещения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жилое помещение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74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6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422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554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Согласование проектных решений по отделке фасадов (паспортов цветовых решений фасадов) при реконструкции и ремонте зданий, сооружений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 временных объектов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86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Согласование проектов внешнего благоустройства и элеме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нтов внешнего благоустройства,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11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Направление уведомления о соответствии (несоответствии) ук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азанных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уведомлении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84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Направление уведомления о соответствии (несоответствии) построенных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br/>
      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9069B9" w:rsidRPr="005548C2" w:rsidTr="009069B9">
        <w:trPr>
          <w:trHeight w:val="501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:rsidR="009069B9" w:rsidRDefault="009069B9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жилищной сфере</w:t>
            </w:r>
          </w:p>
          <w:p w:rsidR="00D4323D" w:rsidRPr="00D4323D" w:rsidRDefault="00D4323D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B61E3A" w:rsidRPr="005548C2" w:rsidTr="00B61E3A">
        <w:trPr>
          <w:trHeight w:val="71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1E3A" w:rsidRDefault="00B61E3A" w:rsidP="00B61E3A">
            <w:pPr>
              <w:jc w:val="center"/>
            </w:pPr>
            <w:r w:rsidRPr="00D869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:rsidTr="00B61E3A">
        <w:trPr>
          <w:trHeight w:val="1559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Включение молодых семей, нуждающихся в улучшении жилищных условий,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доступным и комфортным жильем и коммунальными услугами граждан Российской Федерации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61E3A" w:rsidRDefault="00B61E3A" w:rsidP="00B61E3A">
            <w:pPr>
              <w:jc w:val="center"/>
            </w:pPr>
            <w:r w:rsidRPr="00D869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20D15" w:rsidRPr="005548C2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Признание помещения жилым помещением, жилого помещения пригодным (непригодным) для проживания граждан, а также м</w:t>
            </w:r>
            <w:r w:rsidR="00B61E3A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ногоквартирного дома аварийным </w:t>
            </w: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и подлежащим сносу или реконструкции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61E3A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9069B9" w:rsidRPr="005548C2" w:rsidTr="009069B9">
        <w:trPr>
          <w:trHeight w:val="597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:rsidR="00D4323D" w:rsidRDefault="00D4323D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:rsidR="009069B9" w:rsidRPr="00D4323D" w:rsidRDefault="009069B9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архивного дела</w:t>
            </w:r>
          </w:p>
          <w:p w:rsidR="00D4323D" w:rsidRPr="005548C2" w:rsidRDefault="00D4323D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B20D15" w:rsidRPr="005548C2" w:rsidTr="00B20D15">
        <w:trPr>
          <w:trHeight w:val="7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B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9069B9" w:rsidRPr="005548C2" w:rsidTr="009069B9">
        <w:trPr>
          <w:trHeight w:val="546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:rsidR="00D4323D" w:rsidRDefault="00D4323D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:rsidR="009069B9" w:rsidRPr="00D4323D" w:rsidRDefault="00D4323D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Государственные у</w:t>
            </w:r>
            <w:r w:rsidR="009069B9"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слуги органов ЗАГС</w:t>
            </w:r>
          </w:p>
          <w:p w:rsidR="00D4323D" w:rsidRPr="005548C2" w:rsidRDefault="00D4323D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B20D15" w:rsidRPr="005548C2" w:rsidTr="001F5E6F">
        <w:trPr>
          <w:trHeight w:val="52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Государственная регистрация заключения брака (в части приема заявления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предоставлении государственной услуги)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20D15" w:rsidRPr="005548C2" w:rsidTr="00B61E3A">
        <w:trPr>
          <w:trHeight w:val="764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B20D15" w:rsidRPr="005548C2" w:rsidRDefault="00B20D15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расторжения брака (по взаимному согласию супругов, не имеющих общих несовершеннолетних детей (в части приема заявления о предоставлении государственной услуги))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0D15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20D15" w:rsidRPr="005548C2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:rsidR="00B20D15" w:rsidRPr="005548C2" w:rsidRDefault="00B20D15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0D15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</w:tbl>
    <w:p w:rsidR="006D36D6" w:rsidRDefault="006D36D6" w:rsidP="009069B9">
      <w:pPr>
        <w:spacing w:after="0" w:line="240" w:lineRule="auto"/>
      </w:pPr>
    </w:p>
    <w:p w:rsidR="006D36D6" w:rsidRDefault="006D36D6" w:rsidP="009069B9">
      <w:pPr>
        <w:spacing w:after="0" w:line="240" w:lineRule="auto"/>
      </w:pPr>
    </w:p>
    <w:p w:rsidR="00CB0541" w:rsidRDefault="00CB0541">
      <w:pPr>
        <w:sectPr w:rsidR="00CB0541" w:rsidSect="009069B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B0541" w:rsidRDefault="00CB054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CB0541">
        <w:rPr>
          <w:rFonts w:ascii="Times New Roman" w:hAnsi="Times New Roman" w:cs="Times New Roman"/>
          <w:color w:val="993300"/>
          <w:sz w:val="32"/>
          <w:szCs w:val="32"/>
        </w:rPr>
        <w:lastRenderedPageBreak/>
        <w:t>Перечень государственных услуг, получение результата по которым возможно исключительно в органе социальной защи</w:t>
      </w:r>
      <w:r>
        <w:rPr>
          <w:rFonts w:ascii="Times New Roman" w:hAnsi="Times New Roman" w:cs="Times New Roman"/>
          <w:color w:val="993300"/>
          <w:sz w:val="32"/>
          <w:szCs w:val="32"/>
        </w:rPr>
        <w:t xml:space="preserve">ты муниципального образования, </w:t>
      </w:r>
      <w:r w:rsidRPr="00CB0541">
        <w:rPr>
          <w:rFonts w:ascii="Times New Roman" w:hAnsi="Times New Roman" w:cs="Times New Roman"/>
          <w:color w:val="993300"/>
          <w:sz w:val="32"/>
          <w:szCs w:val="32"/>
        </w:rPr>
        <w:t>в котором зарегистрирован заявитель</w:t>
      </w:r>
    </w:p>
    <w:p w:rsidR="00CB0541" w:rsidRPr="007307FD" w:rsidRDefault="00CB0541" w:rsidP="00CB0541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9203"/>
      </w:tblGrid>
      <w:tr w:rsidR="00CB0541" w:rsidRPr="005548C2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9203" w:type="dxa"/>
            <w:shd w:val="clear" w:color="auto" w:fill="FFFFFF" w:themeFill="background1"/>
            <w:vAlign w:val="center"/>
            <w:hideMark/>
          </w:tcPr>
          <w:p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</w:tr>
      <w:tr w:rsidR="00CB0541" w:rsidRPr="005548C2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CB0541" w:rsidRPr="005548C2" w:rsidTr="00BF6FF2">
        <w:trPr>
          <w:trHeight w:val="628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  <w:hideMark/>
          </w:tcPr>
          <w:p w:rsidR="00CB0541" w:rsidRPr="005548C2" w:rsidRDefault="00CB0541" w:rsidP="00BF6F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Оформление и выдача удостоверения «Участник ликвидации последствий катастрофы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АЭС»</w:t>
            </w:r>
          </w:p>
        </w:tc>
      </w:tr>
      <w:tr w:rsidR="00CB0541" w:rsidRPr="005548C2" w:rsidTr="00BF6FF2">
        <w:trPr>
          <w:trHeight w:val="650"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2.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АЭС, ставшего(ей) инвалидом»</w:t>
            </w:r>
          </w:p>
        </w:tc>
      </w:tr>
      <w:tr w:rsidR="00CB0541" w:rsidRPr="005548C2" w:rsidTr="00CB0541">
        <w:trPr>
          <w:trHeight w:val="640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3.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</w:tcPr>
          <w:p w:rsidR="00CB0541" w:rsidRPr="005548C2" w:rsidRDefault="00CB0541" w:rsidP="00CB0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гражданам удостоверений (дубликатов удостоверений), подтверждающих право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меры социа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льной поддержки в соответствии 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с Федеральным законом от 12.01.1995 №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 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5-ФЗ</w:t>
            </w:r>
          </w:p>
        </w:tc>
      </w:tr>
      <w:tr w:rsidR="00CB0541" w:rsidRPr="005548C2" w:rsidTr="00CB0541">
        <w:trPr>
          <w:trHeight w:val="424"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4.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</w:tr>
      <w:tr w:rsidR="00CB0541" w:rsidRPr="005548C2" w:rsidTr="00CB0541">
        <w:trPr>
          <w:trHeight w:val="571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  <w:hideMark/>
          </w:tcPr>
          <w:p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5.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</w:tcPr>
          <w:p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</w:tr>
    </w:tbl>
    <w:p w:rsidR="001D5740" w:rsidRDefault="001D5740"/>
    <w:p w:rsidR="008B0871" w:rsidRDefault="008B087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</w:p>
    <w:p w:rsidR="008B0871" w:rsidRDefault="008B087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</w:p>
    <w:p w:rsidR="00CB0541" w:rsidRDefault="00CB054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bookmarkStart w:id="0" w:name="_GoBack"/>
      <w:bookmarkEnd w:id="0"/>
      <w:r w:rsidRPr="00CB0541">
        <w:rPr>
          <w:rFonts w:ascii="Times New Roman" w:hAnsi="Times New Roman" w:cs="Times New Roman"/>
          <w:color w:val="993300"/>
          <w:sz w:val="32"/>
          <w:szCs w:val="32"/>
        </w:rPr>
        <w:t>Перечень государственных услуг, получение результата по которым возможно исключительно в органе социальной защиты или МФЦ муниципального образования, в котором зарегистрирован заявитель</w:t>
      </w:r>
    </w:p>
    <w:p w:rsidR="00CB0541" w:rsidRPr="007307FD" w:rsidRDefault="00CB0541" w:rsidP="00CB0541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9203"/>
      </w:tblGrid>
      <w:tr w:rsidR="00CB0541" w:rsidRPr="005548C2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9203" w:type="dxa"/>
            <w:shd w:val="clear" w:color="auto" w:fill="FFFFFF" w:themeFill="background1"/>
            <w:vAlign w:val="center"/>
            <w:hideMark/>
          </w:tcPr>
          <w:p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</w:tr>
      <w:tr w:rsidR="00CB0541" w:rsidRPr="005548C2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CB0541" w:rsidRPr="005548C2" w:rsidTr="00BF6FF2">
        <w:trPr>
          <w:trHeight w:val="628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:rsidR="00CB0541" w:rsidRPr="005548C2" w:rsidRDefault="00CB0541" w:rsidP="00BF6FF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  <w:hideMark/>
          </w:tcPr>
          <w:p w:rsidR="00CB0541" w:rsidRPr="005548C2" w:rsidRDefault="00CB0541" w:rsidP="00BF6F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Прием документов граждан для принятия решения о присвоении им звания «Ветеран труда»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и выдача гражданам удостоверения ветерана</w:t>
            </w:r>
          </w:p>
        </w:tc>
      </w:tr>
      <w:tr w:rsidR="00CB0541" w:rsidRPr="005548C2" w:rsidTr="00BF6FF2">
        <w:trPr>
          <w:trHeight w:val="650"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:rsidR="00CB0541" w:rsidRPr="005548C2" w:rsidRDefault="00CB0541" w:rsidP="00BF6FF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2.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:rsidR="00CB0541" w:rsidRPr="005548C2" w:rsidRDefault="00CB0541" w:rsidP="00CB0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тегорий граждан в соответствии 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 принятыми нормативными актами субъекта Российской Федерации (прием документов граждан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</w:tr>
    </w:tbl>
    <w:p w:rsidR="00CB0541" w:rsidRDefault="00CB0541" w:rsidP="00CB0541"/>
    <w:p w:rsidR="00CB0541" w:rsidRDefault="00CB0541"/>
    <w:sectPr w:rsidR="00CB0541" w:rsidSect="009069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71911"/>
    <w:multiLevelType w:val="hybridMultilevel"/>
    <w:tmpl w:val="228E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5567F"/>
    <w:multiLevelType w:val="hybridMultilevel"/>
    <w:tmpl w:val="228EE80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A1519"/>
    <w:multiLevelType w:val="hybridMultilevel"/>
    <w:tmpl w:val="331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47"/>
    <w:rsid w:val="0003168D"/>
    <w:rsid w:val="00177787"/>
    <w:rsid w:val="001C5B47"/>
    <w:rsid w:val="001D5740"/>
    <w:rsid w:val="001F5E6F"/>
    <w:rsid w:val="003A34EA"/>
    <w:rsid w:val="003D37BB"/>
    <w:rsid w:val="004815F2"/>
    <w:rsid w:val="006C6334"/>
    <w:rsid w:val="006C7195"/>
    <w:rsid w:val="006D36D6"/>
    <w:rsid w:val="008B0871"/>
    <w:rsid w:val="009069B9"/>
    <w:rsid w:val="00913CAA"/>
    <w:rsid w:val="00B07047"/>
    <w:rsid w:val="00B20D15"/>
    <w:rsid w:val="00B262C6"/>
    <w:rsid w:val="00B61E3A"/>
    <w:rsid w:val="00CB0541"/>
    <w:rsid w:val="00D4323D"/>
    <w:rsid w:val="00F175D4"/>
    <w:rsid w:val="00F428F8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A3F89-6EE1-4132-808F-F6F9DE4D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46AB-AF44-4647-87C4-34038D9D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Кадыгроб</dc:creator>
  <cp:keywords/>
  <dc:description/>
  <cp:lastModifiedBy>1</cp:lastModifiedBy>
  <cp:revision>3</cp:revision>
  <dcterms:created xsi:type="dcterms:W3CDTF">2025-01-14T07:18:00Z</dcterms:created>
  <dcterms:modified xsi:type="dcterms:W3CDTF">2025-01-14T07:18:00Z</dcterms:modified>
</cp:coreProperties>
</file>