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contextualSpacing w:val="1"/>
        <w:jc w:val="both"/>
        <w:rPr>
          <w:rFonts w:ascii="Times New Roman" w:hAnsi="Times New Roman"/>
          <w:color w:val="993300"/>
          <w:sz w:val="32"/>
        </w:rPr>
      </w:pPr>
      <w:r>
        <w:rPr>
          <w:rFonts w:ascii="Times New Roman" w:hAnsi="Times New Roman"/>
          <w:color w:val="993300"/>
          <w:sz w:val="32"/>
        </w:rPr>
        <w:t xml:space="preserve">Перечень государственных и муниципальных услуг, оказываемых </w:t>
      </w:r>
      <w:r>
        <w:rPr>
          <w:rFonts w:ascii="Times New Roman" w:hAnsi="Times New Roman"/>
          <w:color w:val="993300"/>
          <w:sz w:val="32"/>
        </w:rPr>
        <w:br/>
      </w:r>
      <w:r>
        <w:rPr>
          <w:rFonts w:ascii="Times New Roman" w:hAnsi="Times New Roman"/>
          <w:color w:val="993300"/>
          <w:sz w:val="32"/>
        </w:rPr>
        <w:t xml:space="preserve">по принципу экстерриториальности на территории Ростовской области многофункциональными центрами </w:t>
      </w:r>
      <w:bookmarkStart w:id="1" w:name="_GoBack"/>
      <w:bookmarkEnd w:id="1"/>
      <w:r>
        <w:rPr>
          <w:rFonts w:ascii="Times New Roman" w:hAnsi="Times New Roman"/>
          <w:color w:val="993300"/>
          <w:sz w:val="32"/>
        </w:rPr>
        <w:t xml:space="preserve">предоставления государственных </w:t>
      </w:r>
      <w:r>
        <w:rPr>
          <w:rFonts w:ascii="Times New Roman" w:hAnsi="Times New Roman"/>
          <w:color w:val="993300"/>
          <w:sz w:val="32"/>
        </w:rPr>
        <w:br/>
      </w:r>
      <w:r>
        <w:rPr>
          <w:rFonts w:ascii="Times New Roman" w:hAnsi="Times New Roman"/>
          <w:color w:val="993300"/>
          <w:sz w:val="32"/>
        </w:rPr>
        <w:t>и муниципальных услуг</w:t>
      </w:r>
    </w:p>
    <w:p w14:paraId="02000000">
      <w:pPr>
        <w:spacing w:after="0" w:line="240" w:lineRule="auto"/>
        <w:ind/>
        <w:rPr>
          <w:rFonts w:ascii="Arial" w:hAnsi="Arial"/>
          <w:color w:val="993300"/>
          <w:sz w:val="18"/>
        </w:rPr>
      </w:pPr>
    </w:p>
    <w:tbl>
      <w:tblPr>
        <w:tblStyle w:val="Style_1"/>
        <w:tblLayout w:type="fixed"/>
      </w:tblPr>
      <w:tblGrid>
        <w:gridCol w:w="1145"/>
        <w:gridCol w:w="9203"/>
      </w:tblGrid>
      <w:tr>
        <w:trPr>
          <w:trHeight w:hRule="atLeast" w:val="315"/>
          <w:tblHeader/>
        </w:trPr>
        <w:tc>
          <w:tcPr>
            <w:tcW w:type="dxa" w:w="1145"/>
            <w:shd w:themeFill="background1" w:val="clear"/>
            <w:vAlign w:val="center"/>
          </w:tcPr>
          <w:p w14:paraId="0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993300"/>
              </w:rPr>
            </w:pPr>
            <w:r>
              <w:rPr>
                <w:rFonts w:ascii="Times New Roman" w:hAnsi="Times New Roman"/>
                <w:b w:val="1"/>
                <w:color w:val="993300"/>
              </w:rPr>
              <w:t>№ п/п</w:t>
            </w:r>
          </w:p>
        </w:tc>
        <w:tc>
          <w:tcPr>
            <w:tcW w:type="dxa" w:w="9203"/>
            <w:shd w:themeFill="background1" w:val="clear"/>
            <w:vAlign w:val="center"/>
          </w:tcPr>
          <w:p w14:paraId="0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993300"/>
              </w:rPr>
            </w:pPr>
            <w:r>
              <w:rPr>
                <w:rFonts w:ascii="Times New Roman" w:hAnsi="Times New Roman"/>
                <w:b w:val="1"/>
                <w:color w:val="993300"/>
              </w:rPr>
              <w:t>Наименование услуги</w:t>
            </w:r>
          </w:p>
        </w:tc>
      </w:tr>
      <w:tr>
        <w:trPr>
          <w:trHeight w:hRule="atLeast" w:val="315"/>
          <w:tblHeader/>
        </w:trPr>
        <w:tc>
          <w:tcPr>
            <w:tcW w:type="dxa" w:w="1145"/>
            <w:shd w:themeFill="background1" w:val="clear"/>
            <w:vAlign w:val="center"/>
          </w:tcPr>
          <w:p w14:paraId="05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993300"/>
              </w:rPr>
            </w:pPr>
          </w:p>
        </w:tc>
        <w:tc>
          <w:tcPr>
            <w:tcW w:type="dxa" w:w="9203"/>
            <w:shd w:themeFill="background1" w:val="clear"/>
            <w:vAlign w:val="center"/>
          </w:tcPr>
          <w:p w14:paraId="06000000">
            <w:pPr>
              <w:spacing w:after="0" w:line="240" w:lineRule="auto"/>
              <w:ind/>
              <w:rPr>
                <w:rFonts w:ascii="Times New Roman" w:hAnsi="Times New Roman"/>
                <w:b w:val="1"/>
                <w:color w:val="993300"/>
              </w:rPr>
            </w:pPr>
          </w:p>
        </w:tc>
      </w:tr>
      <w:tr>
        <w:trPr>
          <w:trHeight w:hRule="atLeast" w:val="621"/>
        </w:trPr>
        <w:tc>
          <w:tcPr>
            <w:tcW w:type="dxa" w:w="10348"/>
            <w:gridSpan w:val="2"/>
            <w:shd w:themeFill="background1" w:val="clear"/>
            <w:vAlign w:val="center"/>
          </w:tcPr>
          <w:p w14:paraId="0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993300"/>
              </w:rPr>
            </w:pPr>
            <w:r>
              <w:rPr>
                <w:rFonts w:ascii="Times New Roman" w:hAnsi="Times New Roman"/>
                <w:b w:val="1"/>
                <w:color w:val="993300"/>
              </w:rPr>
              <w:t>Государственные услуги в сфере социальной поддержки населения</w:t>
            </w:r>
          </w:p>
        </w:tc>
      </w:tr>
      <w:tr>
        <w:trPr>
          <w:trHeight w:hRule="atLeast" w:val="628"/>
        </w:trPr>
        <w:tc>
          <w:tcPr>
            <w:tcW w:type="dxa" w:w="1145"/>
            <w:shd w:themeFill="accent2" w:themeFillTint="32" w:val="clear"/>
            <w:vAlign w:val="center"/>
          </w:tcPr>
          <w:p w14:paraId="08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accent2" w:themeFillTint="32" w:val="clear"/>
            <w:vAlign w:val="center"/>
          </w:tcPr>
          <w:p w14:paraId="09000000">
            <w:pPr>
              <w:ind/>
              <w:contextualSpacing w:val="1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623B2A"/>
              </w:rPr>
              <w:t>Предоставление ежегодной денежной выплаты гражданам, награжденным нагрудным знаком «Почетный донор СССР», «Почетный донор России»</w:t>
            </w:r>
          </w:p>
        </w:tc>
      </w:tr>
      <w:tr>
        <w:trPr>
          <w:trHeight w:hRule="atLeast" w:val="650"/>
        </w:trPr>
        <w:tc>
          <w:tcPr>
            <w:tcW w:type="dxa" w:w="1145"/>
            <w:shd w:themeFill="background1" w:val="clear"/>
            <w:vAlign w:val="center"/>
          </w:tcPr>
          <w:p w14:paraId="0A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background1" w:val="clear"/>
            <w:vAlign w:val="center"/>
          </w:tcPr>
          <w:p w14:paraId="0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</w:tr>
      <w:tr>
        <w:trPr>
          <w:trHeight w:hRule="atLeast" w:val="903"/>
        </w:trPr>
        <w:tc>
          <w:tcPr>
            <w:tcW w:type="dxa" w:w="1145"/>
            <w:shd w:themeFill="accent2" w:themeFillTint="32" w:val="clear"/>
            <w:vAlign w:val="center"/>
          </w:tcPr>
          <w:p w14:paraId="0C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accent2" w:themeFillTint="32" w:val="clear"/>
            <w:vAlign w:val="center"/>
          </w:tcPr>
          <w:p w14:paraId="0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Компенсация расходов по оплате жилого помещения, в том числе взноса на капитальный ремонт общего имущества в многоквартирном доме, и коммунальных услуг льготным категориям граждан</w:t>
            </w:r>
          </w:p>
        </w:tc>
      </w:tr>
      <w:tr>
        <w:trPr>
          <w:trHeight w:hRule="atLeast" w:val="655"/>
        </w:trPr>
        <w:tc>
          <w:tcPr>
            <w:tcW w:type="dxa" w:w="1145"/>
            <w:shd w:themeFill="background1" w:val="clear"/>
            <w:vAlign w:val="center"/>
          </w:tcPr>
          <w:p w14:paraId="0E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background1" w:val="clear"/>
            <w:vAlign w:val="center"/>
          </w:tcPr>
          <w:p w14:paraId="0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 xml:space="preserve">Компенсация расходов на уплату взносов на капитальный ремонт общего имущества </w:t>
            </w:r>
            <w:r>
              <w:rPr>
                <w:rFonts w:ascii="Times New Roman" w:hAnsi="Times New Roman"/>
                <w:color w:val="623B2A"/>
              </w:rPr>
              <w:br/>
            </w:r>
            <w:r>
              <w:rPr>
                <w:rFonts w:ascii="Times New Roman" w:hAnsi="Times New Roman"/>
                <w:color w:val="623B2A"/>
              </w:rPr>
              <w:t>в многоквартирном доме отдельным категориям граждан</w:t>
            </w:r>
          </w:p>
        </w:tc>
      </w:tr>
      <w:tr>
        <w:trPr>
          <w:trHeight w:hRule="atLeast" w:val="707"/>
        </w:trPr>
        <w:tc>
          <w:tcPr>
            <w:tcW w:type="dxa" w:w="1145"/>
            <w:shd w:themeFill="accent2" w:themeFillTint="32" w:val="clear"/>
            <w:vAlign w:val="center"/>
          </w:tcPr>
          <w:p w14:paraId="10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accent2" w:themeFillTint="32" w:val="clear"/>
            <w:vAlign w:val="center"/>
          </w:tcPr>
          <w:p w14:paraId="11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623B2A"/>
              </w:rPr>
              <w:t>Социальная поддержка семей, имеющих детей (в том числе многодетных семей, одиноких родителей) (назначение и выплата пособия на ребенка)</w:t>
            </w:r>
          </w:p>
        </w:tc>
      </w:tr>
      <w:tr>
        <w:trPr>
          <w:trHeight w:hRule="atLeast" w:val="561"/>
        </w:trPr>
        <w:tc>
          <w:tcPr>
            <w:tcW w:type="dxa" w:w="1145"/>
            <w:shd w:themeFill="background1" w:val="clear"/>
            <w:vAlign w:val="center"/>
          </w:tcPr>
          <w:p w14:paraId="12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background1" w:val="clear"/>
            <w:vAlign w:val="center"/>
          </w:tcPr>
          <w:p w14:paraId="1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Предоставление ежемесячных денежных выплат малоимущим семьям, имеющим детей первого-второго года жизни</w:t>
            </w:r>
          </w:p>
        </w:tc>
      </w:tr>
      <w:tr>
        <w:trPr>
          <w:trHeight w:hRule="atLeast" w:val="710"/>
        </w:trPr>
        <w:tc>
          <w:tcPr>
            <w:tcW w:type="dxa" w:w="1145"/>
            <w:shd w:themeFill="accent2" w:themeFillTint="32" w:val="clear"/>
            <w:vAlign w:val="center"/>
          </w:tcPr>
          <w:p w14:paraId="14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accent2" w:themeFillTint="32" w:val="clear"/>
            <w:vAlign w:val="center"/>
          </w:tcPr>
          <w:p w14:paraId="1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Предоставление ежемесячных денежных выплат на полноценное питание беременных женщин из малоимущих семей, кормящих матерей и детей в возрасте до трех лет из малоимущих семей</w:t>
            </w:r>
          </w:p>
        </w:tc>
      </w:tr>
      <w:tr>
        <w:trPr>
          <w:trHeight w:hRule="atLeast" w:val="446"/>
        </w:trPr>
        <w:tc>
          <w:tcPr>
            <w:tcW w:type="dxa" w:w="1145"/>
            <w:shd w:themeFill="background1" w:val="clear"/>
            <w:vAlign w:val="center"/>
          </w:tcPr>
          <w:p w14:paraId="16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background1" w:val="clear"/>
            <w:vAlign w:val="center"/>
          </w:tcPr>
          <w:p w14:paraId="1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Предоставление ежемесячных денежных выплат на детей из многодетных семей</w:t>
            </w:r>
          </w:p>
        </w:tc>
      </w:tr>
      <w:tr>
        <w:trPr>
          <w:trHeight w:hRule="atLeast" w:val="401"/>
        </w:trPr>
        <w:tc>
          <w:tcPr>
            <w:tcW w:type="dxa" w:w="1145"/>
            <w:shd w:themeFill="accent2" w:themeFillTint="32" w:val="clear"/>
            <w:vAlign w:val="center"/>
          </w:tcPr>
          <w:p w14:paraId="18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accent2" w:themeFillTint="32" w:val="clear"/>
            <w:vAlign w:val="center"/>
          </w:tcPr>
          <w:p w14:paraId="1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Выдача сертификата на региональный материнский капитал</w:t>
            </w:r>
          </w:p>
        </w:tc>
      </w:tr>
      <w:tr>
        <w:trPr>
          <w:trHeight w:hRule="atLeast" w:val="577"/>
        </w:trPr>
        <w:tc>
          <w:tcPr>
            <w:tcW w:type="dxa" w:w="1145"/>
            <w:shd w:themeFill="background1" w:val="clear"/>
            <w:vAlign w:val="center"/>
          </w:tcPr>
          <w:p w14:paraId="1A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background1" w:val="clear"/>
            <w:vAlign w:val="center"/>
          </w:tcPr>
          <w:p w14:paraId="1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Предоставление ежемесячной денежной выплаты на третьего ребенка или последующих детей</w:t>
            </w:r>
          </w:p>
        </w:tc>
      </w:tr>
      <w:tr>
        <w:trPr>
          <w:trHeight w:hRule="atLeast" w:val="557"/>
        </w:trPr>
        <w:tc>
          <w:tcPr>
            <w:tcW w:type="dxa" w:w="1145"/>
            <w:shd w:themeFill="accent2" w:themeFillTint="32" w:val="clear"/>
            <w:vAlign w:val="center"/>
          </w:tcPr>
          <w:p w14:paraId="1C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accent2" w:themeFillTint="32" w:val="clear"/>
            <w:vAlign w:val="center"/>
          </w:tcPr>
          <w:p w14:paraId="1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 xml:space="preserve">Социальная поддержка малоимущих граждан (предоставление адресной социальной помощи </w:t>
            </w:r>
            <w:r>
              <w:rPr>
                <w:rFonts w:ascii="Times New Roman" w:hAnsi="Times New Roman"/>
                <w:color w:val="623B2A"/>
              </w:rPr>
              <w:br/>
            </w:r>
            <w:r>
              <w:rPr>
                <w:rFonts w:ascii="Times New Roman" w:hAnsi="Times New Roman"/>
                <w:color w:val="623B2A"/>
              </w:rPr>
              <w:t>в виде социального пособия)</w:t>
            </w:r>
          </w:p>
        </w:tc>
      </w:tr>
      <w:tr>
        <w:trPr>
          <w:trHeight w:hRule="atLeast" w:val="423"/>
        </w:trPr>
        <w:tc>
          <w:tcPr>
            <w:tcW w:type="dxa" w:w="1145"/>
            <w:shd w:themeFill="background1" w:val="clear"/>
            <w:vAlign w:val="center"/>
          </w:tcPr>
          <w:p w14:paraId="1E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background1" w:val="clear"/>
            <w:vAlign w:val="center"/>
          </w:tcPr>
          <w:p w14:paraId="1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Выдача справок студентам для получения государственной социальной стипендии</w:t>
            </w:r>
          </w:p>
        </w:tc>
      </w:tr>
      <w:tr>
        <w:trPr>
          <w:trHeight w:hRule="atLeast" w:val="570"/>
        </w:trPr>
        <w:tc>
          <w:tcPr>
            <w:tcW w:type="dxa" w:w="1145"/>
            <w:shd w:themeFill="accent2" w:themeFillTint="32" w:val="clear"/>
            <w:vAlign w:val="center"/>
          </w:tcPr>
          <w:p w14:paraId="20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accent2" w:themeFillTint="32" w:val="clear"/>
            <w:vAlign w:val="center"/>
          </w:tcPr>
          <w:p w14:paraId="2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 xml:space="preserve">Прием документов граждан для принятия решения о присвоении им звания «Ветеран труда» </w:t>
            </w:r>
            <w:r>
              <w:rPr>
                <w:rFonts w:ascii="Times New Roman" w:hAnsi="Times New Roman"/>
                <w:color w:val="623B2A"/>
              </w:rPr>
              <w:br/>
            </w:r>
            <w:r>
              <w:rPr>
                <w:rFonts w:ascii="Times New Roman" w:hAnsi="Times New Roman"/>
                <w:color w:val="623B2A"/>
              </w:rPr>
              <w:t>и выдача гражданам удостоверения ветерана</w:t>
            </w:r>
          </w:p>
        </w:tc>
      </w:tr>
      <w:tr>
        <w:trPr>
          <w:trHeight w:hRule="atLeast" w:val="737"/>
        </w:trPr>
        <w:tc>
          <w:tcPr>
            <w:tcW w:type="dxa" w:w="1145"/>
            <w:shd w:themeFill="background1" w:val="clear"/>
            <w:vAlign w:val="center"/>
          </w:tcPr>
          <w:p w14:paraId="22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background1" w:val="clear"/>
            <w:vAlign w:val="center"/>
          </w:tcPr>
          <w:p w14:paraId="2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 xml:space="preserve">Социальная поддержка отдельных категорий граждан в соответствии с принятыми нормативными актами субъекта Российской Федерации (прием документов граждан </w:t>
            </w:r>
            <w:r>
              <w:rPr>
                <w:rFonts w:ascii="Times New Roman" w:hAnsi="Times New Roman"/>
                <w:color w:val="623B2A"/>
              </w:rPr>
              <w:br/>
            </w:r>
            <w:r>
              <w:rPr>
                <w:rFonts w:ascii="Times New Roman" w:hAnsi="Times New Roman"/>
                <w:color w:val="623B2A"/>
              </w:rPr>
              <w:t>для принятия решения о присвоении им звания «Ветеран труда Ростовской области» и выдача гражданам удостоверений ветерана труда Ростовской области)</w:t>
            </w:r>
          </w:p>
        </w:tc>
      </w:tr>
      <w:tr>
        <w:trPr>
          <w:trHeight w:hRule="atLeast" w:val="409"/>
        </w:trPr>
        <w:tc>
          <w:tcPr>
            <w:tcW w:type="dxa" w:w="1145"/>
            <w:shd w:themeFill="accent2" w:themeFillTint="32" w:val="clear"/>
            <w:vAlign w:val="center"/>
          </w:tcPr>
          <w:p w14:paraId="24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accent2" w:themeFillTint="32" w:val="clear"/>
            <w:vAlign w:val="center"/>
          </w:tcPr>
          <w:p w14:paraId="2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Оплата расходов на газификацию домовладения (квартиры)</w:t>
            </w:r>
          </w:p>
        </w:tc>
      </w:tr>
      <w:tr>
        <w:trPr>
          <w:trHeight w:hRule="atLeast" w:val="571"/>
        </w:trPr>
        <w:tc>
          <w:tcPr>
            <w:tcW w:type="dxa" w:w="1145"/>
            <w:shd w:themeFill="background1" w:val="clear"/>
            <w:vAlign w:val="center"/>
          </w:tcPr>
          <w:p w14:paraId="26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background1" w:val="clear"/>
            <w:vAlign w:val="center"/>
          </w:tcPr>
          <w:p w14:paraId="2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Социальная поддержка жертв политических репрессий (выплата реабилитированным гражданам денежной компенсации на установку телефона)</w:t>
            </w:r>
          </w:p>
        </w:tc>
      </w:tr>
      <w:tr>
        <w:trPr>
          <w:trHeight w:hRule="atLeast" w:val="737"/>
        </w:trPr>
        <w:tc>
          <w:tcPr>
            <w:tcW w:type="dxa" w:w="1145"/>
            <w:shd w:themeFill="accent2" w:themeFillTint="32" w:val="clear"/>
            <w:vAlign w:val="center"/>
          </w:tcPr>
          <w:p w14:paraId="28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accent2" w:themeFillTint="32" w:val="clear"/>
            <w:vAlign w:val="center"/>
          </w:tcPr>
          <w:p w14:paraId="2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Выплата компенсации за предоставленные услуги связи (абонентская плата за телефон и радио) ветеранам труда, гражданам, приравненным к ним, ветеранам труда Ростовской области</w:t>
            </w:r>
          </w:p>
        </w:tc>
      </w:tr>
      <w:tr>
        <w:trPr>
          <w:trHeight w:hRule="atLeast" w:val="496"/>
        </w:trPr>
        <w:tc>
          <w:tcPr>
            <w:tcW w:type="dxa" w:w="1145"/>
            <w:shd w:themeFill="background1" w:val="clear"/>
            <w:vAlign w:val="center"/>
          </w:tcPr>
          <w:p w14:paraId="2A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background1" w:val="clear"/>
            <w:vAlign w:val="center"/>
          </w:tcPr>
          <w:p w14:paraId="2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Снижение стоимости лекарств по рецепту врача на 50 процентов</w:t>
            </w:r>
          </w:p>
        </w:tc>
      </w:tr>
      <w:tr>
        <w:trPr>
          <w:trHeight w:hRule="atLeast" w:val="737"/>
        </w:trPr>
        <w:tc>
          <w:tcPr>
            <w:tcW w:type="dxa" w:w="1145"/>
            <w:shd w:themeFill="accent2" w:themeFillTint="32" w:val="clear"/>
            <w:vAlign w:val="center"/>
          </w:tcPr>
          <w:p w14:paraId="2C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accent2" w:themeFillTint="32" w:val="clear"/>
            <w:vAlign w:val="center"/>
          </w:tcPr>
          <w:p w14:paraId="2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Социальная поддержка отдельных категорий региональных льготников «Бесплатные изготовление и ремонт зубных протезов (кроме расходов на оплату стоимости драгоценных металлов и металлокерамики)»</w:t>
            </w:r>
          </w:p>
        </w:tc>
      </w:tr>
      <w:tr>
        <w:trPr>
          <w:trHeight w:hRule="atLeast" w:val="733"/>
        </w:trPr>
        <w:tc>
          <w:tcPr>
            <w:tcW w:type="dxa" w:w="1145"/>
            <w:shd w:themeFill="background1" w:val="clear"/>
            <w:vAlign w:val="center"/>
          </w:tcPr>
          <w:p w14:paraId="2E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background1" w:val="clear"/>
            <w:vAlign w:val="center"/>
          </w:tcPr>
          <w:p w14:paraId="2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 xml:space="preserve">Выдача гражданам удостоверений (дубликатов удостоверений), подтверждающих право </w:t>
            </w:r>
            <w:r>
              <w:rPr>
                <w:rFonts w:ascii="Times New Roman" w:hAnsi="Times New Roman"/>
                <w:color w:val="623B2A"/>
              </w:rPr>
              <w:br/>
            </w:r>
            <w:r>
              <w:rPr>
                <w:rFonts w:ascii="Times New Roman" w:hAnsi="Times New Roman"/>
                <w:color w:val="623B2A"/>
              </w:rPr>
              <w:t>на меры социальной поддержки в соответствии с Федеральным законом от 12.01.1995 № 5-ФЗ</w:t>
            </w:r>
          </w:p>
        </w:tc>
      </w:tr>
      <w:tr>
        <w:trPr>
          <w:trHeight w:hRule="atLeast" w:val="842"/>
        </w:trPr>
        <w:tc>
          <w:tcPr>
            <w:tcW w:type="dxa" w:w="1145"/>
            <w:shd w:themeFill="accent2" w:themeFillTint="32" w:val="clear"/>
            <w:vAlign w:val="center"/>
          </w:tcPr>
          <w:p w14:paraId="30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accent2" w:themeFillTint="32" w:val="clear"/>
            <w:vAlign w:val="center"/>
          </w:tcPr>
          <w:p w14:paraId="3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Предоставление информации, прием документов органами опеки и попечительства от лиц, желающих установить опеку (попечительство) или патронаж над определенной категорией граждан (лица, признанные в установленном законом порядке недееспособными)</w:t>
            </w:r>
          </w:p>
        </w:tc>
      </w:tr>
      <w:tr>
        <w:trPr>
          <w:trHeight w:hRule="atLeast" w:val="973"/>
        </w:trPr>
        <w:tc>
          <w:tcPr>
            <w:tcW w:type="dxa" w:w="1145"/>
            <w:shd w:themeFill="background1" w:val="clear"/>
            <w:vAlign w:val="center"/>
          </w:tcPr>
          <w:p w14:paraId="32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background1" w:val="clear"/>
            <w:vAlign w:val="center"/>
          </w:tcPr>
          <w:p w14:paraId="3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Выплата компенсации за проезд в пределах территории Российской Федерации (туда и обратно) один раз в год железнодорожным транспортом, а в районах, не имеющих железнодорожного сообщения, - 50 процентов стоимости проезда водным, воздушным или междугородным автомобильным транспортом реабилитированным гражданам</w:t>
            </w:r>
          </w:p>
        </w:tc>
      </w:tr>
      <w:tr>
        <w:trPr>
          <w:trHeight w:hRule="atLeast" w:val="415"/>
        </w:trPr>
        <w:tc>
          <w:tcPr>
            <w:tcW w:type="dxa" w:w="1145"/>
            <w:shd w:themeFill="accent2" w:themeFillTint="32" w:val="clear"/>
            <w:vAlign w:val="center"/>
          </w:tcPr>
          <w:p w14:paraId="34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accent2" w:themeFillTint="32" w:val="clear"/>
            <w:vAlign w:val="center"/>
          </w:tcPr>
          <w:p w14:paraId="3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Организация отдыха и оздоровления детей</w:t>
            </w:r>
          </w:p>
        </w:tc>
      </w:tr>
      <w:tr>
        <w:trPr>
          <w:trHeight w:hRule="atLeast" w:val="566"/>
        </w:trPr>
        <w:tc>
          <w:tcPr>
            <w:tcW w:type="dxa" w:w="1145"/>
            <w:shd w:themeFill="background1" w:val="clear"/>
            <w:vAlign w:val="center"/>
          </w:tcPr>
          <w:p w14:paraId="36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background1" w:val="clear"/>
            <w:vAlign w:val="center"/>
          </w:tcPr>
          <w:p w14:paraId="3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 xml:space="preserve">Оформление и выдача удостоверения «Участник ликвидации последствий катастрофы </w:t>
            </w:r>
            <w:r>
              <w:rPr>
                <w:rFonts w:ascii="Times New Roman" w:hAnsi="Times New Roman"/>
                <w:color w:val="623B2A"/>
              </w:rPr>
              <w:br/>
            </w:r>
            <w:r>
              <w:rPr>
                <w:rFonts w:ascii="Times New Roman" w:hAnsi="Times New Roman"/>
                <w:color w:val="623B2A"/>
              </w:rPr>
              <w:t>на Чернобыльской АЭС»</w:t>
            </w:r>
          </w:p>
        </w:tc>
      </w:tr>
      <w:tr>
        <w:trPr>
          <w:trHeight w:hRule="atLeast" w:val="737"/>
        </w:trPr>
        <w:tc>
          <w:tcPr>
            <w:tcW w:type="dxa" w:w="1145"/>
            <w:shd w:themeFill="accent2" w:themeFillTint="32" w:val="clear"/>
            <w:vAlign w:val="center"/>
          </w:tcPr>
          <w:p w14:paraId="38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accent2" w:themeFillTint="32" w:val="clear"/>
            <w:vAlign w:val="center"/>
          </w:tcPr>
          <w:p w14:paraId="3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 xml:space="preserve">Оформление и выдача удостоверения «получившего (ей) или перенесшего (ей) лучевую болезнь и другие заболевания, связанные с радиационным воздействием вследствие катастрофы </w:t>
            </w:r>
            <w:r>
              <w:rPr>
                <w:rFonts w:ascii="Times New Roman" w:hAnsi="Times New Roman"/>
                <w:color w:val="623B2A"/>
              </w:rPr>
              <w:br/>
            </w:r>
            <w:r>
              <w:rPr>
                <w:rFonts w:ascii="Times New Roman" w:hAnsi="Times New Roman"/>
                <w:color w:val="623B2A"/>
              </w:rPr>
              <w:t>на Чернобыльской АЭС; ставшего (ей) инвалидом»</w:t>
            </w:r>
          </w:p>
        </w:tc>
      </w:tr>
      <w:tr>
        <w:trPr>
          <w:trHeight w:hRule="atLeast" w:val="383"/>
        </w:trPr>
        <w:tc>
          <w:tcPr>
            <w:tcW w:type="dxa" w:w="1145"/>
            <w:shd w:themeFill="background1" w:val="clear"/>
            <w:vAlign w:val="center"/>
          </w:tcPr>
          <w:p w14:paraId="3A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background1" w:val="clear"/>
            <w:vAlign w:val="center"/>
          </w:tcPr>
          <w:p w14:paraId="3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Ежемесячная денежная выплата региональным льготникам</w:t>
            </w:r>
          </w:p>
        </w:tc>
      </w:tr>
      <w:tr>
        <w:trPr>
          <w:trHeight w:hRule="atLeast" w:val="423"/>
        </w:trPr>
        <w:tc>
          <w:tcPr>
            <w:tcW w:type="dxa" w:w="1145"/>
            <w:shd w:themeFill="accent2" w:themeFillTint="32" w:val="clear"/>
            <w:vAlign w:val="center"/>
          </w:tcPr>
          <w:p w14:paraId="3C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accent2" w:themeFillTint="32" w:val="clear"/>
            <w:vAlign w:val="center"/>
          </w:tcPr>
          <w:p w14:paraId="3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Прием заявлений от региональных льготников для выдачи льготной проездной карты</w:t>
            </w:r>
          </w:p>
        </w:tc>
      </w:tr>
      <w:tr>
        <w:trPr>
          <w:trHeight w:hRule="atLeast" w:val="423"/>
        </w:trPr>
        <w:tc>
          <w:tcPr>
            <w:tcW w:type="dxa" w:w="1145"/>
            <w:shd w:themeFill="background1" w:val="clear"/>
            <w:vAlign w:val="center"/>
          </w:tcPr>
          <w:p w14:paraId="3E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background1" w:val="clear"/>
            <w:vAlign w:val="center"/>
          </w:tcPr>
          <w:p w14:paraId="3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Прием заявлений от федеральных льготников для выдачи электронного социального проездного билета</w:t>
            </w:r>
          </w:p>
        </w:tc>
      </w:tr>
      <w:tr>
        <w:trPr>
          <w:trHeight w:hRule="atLeast" w:val="573"/>
        </w:trPr>
        <w:tc>
          <w:tcPr>
            <w:tcW w:type="dxa" w:w="10348"/>
            <w:gridSpan w:val="2"/>
            <w:shd w:themeFill="background1" w:val="clear"/>
            <w:vAlign w:val="center"/>
          </w:tcPr>
          <w:p w14:paraId="4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993300"/>
              </w:rPr>
            </w:pPr>
            <w:r>
              <w:rPr>
                <w:rFonts w:ascii="Times New Roman" w:hAnsi="Times New Roman"/>
                <w:b w:val="1"/>
                <w:color w:val="993300"/>
              </w:rPr>
              <w:t xml:space="preserve">Муниципальные услуги в сфере земельно-имущественных отношений </w:t>
            </w:r>
          </w:p>
        </w:tc>
      </w:tr>
      <w:tr>
        <w:trPr>
          <w:trHeight w:hRule="atLeast" w:val="609"/>
        </w:trPr>
        <w:tc>
          <w:tcPr>
            <w:tcW w:type="dxa" w:w="1145"/>
            <w:shd w:themeFill="accent2" w:themeFillTint="32" w:val="clear"/>
            <w:vAlign w:val="center"/>
          </w:tcPr>
          <w:p w14:paraId="41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accent2" w:themeFillTint="32" w:val="clear"/>
            <w:vAlign w:val="center"/>
          </w:tcPr>
          <w:p w14:paraId="4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</w:t>
            </w:r>
          </w:p>
        </w:tc>
      </w:tr>
      <w:tr>
        <w:trPr>
          <w:trHeight w:hRule="atLeast" w:val="859"/>
        </w:trPr>
        <w:tc>
          <w:tcPr>
            <w:tcW w:type="dxa" w:w="1145"/>
            <w:shd w:themeFill="background1" w:val="clear"/>
            <w:vAlign w:val="center"/>
          </w:tcPr>
          <w:p w14:paraId="43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background1" w:val="clear"/>
            <w:vAlign w:val="center"/>
          </w:tcPr>
          <w:p w14:paraId="4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</w:t>
            </w:r>
          </w:p>
        </w:tc>
      </w:tr>
      <w:tr>
        <w:trPr>
          <w:trHeight w:hRule="atLeast" w:val="573"/>
        </w:trPr>
        <w:tc>
          <w:tcPr>
            <w:tcW w:type="dxa" w:w="1145"/>
            <w:shd w:themeFill="accent2" w:themeFillTint="32" w:val="clear"/>
            <w:vAlign w:val="center"/>
          </w:tcPr>
          <w:p w14:paraId="45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accent2" w:themeFillTint="32" w:val="clear"/>
            <w:vAlign w:val="center"/>
          </w:tcPr>
          <w:p w14:paraId="4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</w:tr>
      <w:tr>
        <w:trPr>
          <w:trHeight w:hRule="atLeast" w:val="411"/>
        </w:trPr>
        <w:tc>
          <w:tcPr>
            <w:tcW w:type="dxa" w:w="1145"/>
            <w:shd w:themeFill="background1" w:val="clear"/>
            <w:vAlign w:val="center"/>
          </w:tcPr>
          <w:p w14:paraId="47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background1" w:val="clear"/>
            <w:vAlign w:val="center"/>
          </w:tcPr>
          <w:p w14:paraId="4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Предоставление информации об объектах учета из реестра муниципального имущества</w:t>
            </w:r>
          </w:p>
        </w:tc>
      </w:tr>
      <w:tr>
        <w:trPr>
          <w:trHeight w:hRule="atLeast" w:val="573"/>
        </w:trPr>
        <w:tc>
          <w:tcPr>
            <w:tcW w:type="dxa" w:w="1145"/>
            <w:shd w:themeFill="accent2" w:themeFillTint="32" w:val="clear"/>
            <w:vAlign w:val="center"/>
          </w:tcPr>
          <w:p w14:paraId="49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accent2" w:themeFillTint="32" w:val="clear"/>
            <w:vAlign w:val="center"/>
          </w:tcPr>
          <w:p w14:paraId="4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</w:tr>
      <w:tr>
        <w:trPr>
          <w:trHeight w:hRule="atLeast" w:val="567"/>
        </w:trPr>
        <w:tc>
          <w:tcPr>
            <w:tcW w:type="dxa" w:w="1145"/>
            <w:shd w:themeFill="background1" w:val="clear"/>
            <w:vAlign w:val="center"/>
          </w:tcPr>
          <w:p w14:paraId="4B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background1" w:val="clear"/>
            <w:vAlign w:val="center"/>
          </w:tcPr>
          <w:p w14:paraId="4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</w:tr>
      <w:tr>
        <w:trPr>
          <w:trHeight w:hRule="atLeast" w:val="561"/>
        </w:trPr>
        <w:tc>
          <w:tcPr>
            <w:tcW w:type="dxa" w:w="1145"/>
            <w:shd w:themeFill="accent2" w:themeFillTint="32" w:val="clear"/>
            <w:vAlign w:val="center"/>
          </w:tcPr>
          <w:p w14:paraId="4D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accent2" w:themeFillTint="32" w:val="clear"/>
            <w:vAlign w:val="center"/>
          </w:tcPr>
          <w:p w14:paraId="4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 xml:space="preserve">Предоставление муниципального имущества (за исключением земельных участков) в аренду </w:t>
            </w:r>
            <w:r>
              <w:rPr>
                <w:rFonts w:ascii="Times New Roman" w:hAnsi="Times New Roman"/>
                <w:color w:val="623B2A"/>
              </w:rPr>
              <w:br/>
            </w:r>
            <w:r>
              <w:rPr>
                <w:rFonts w:ascii="Times New Roman" w:hAnsi="Times New Roman"/>
                <w:color w:val="623B2A"/>
              </w:rPr>
              <w:t>без проведения торгов</w:t>
            </w:r>
          </w:p>
        </w:tc>
      </w:tr>
      <w:tr>
        <w:trPr>
          <w:trHeight w:hRule="atLeast" w:val="427"/>
        </w:trPr>
        <w:tc>
          <w:tcPr>
            <w:tcW w:type="dxa" w:w="1145"/>
            <w:shd w:themeFill="background1" w:val="clear"/>
            <w:vAlign w:val="center"/>
          </w:tcPr>
          <w:p w14:paraId="4F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background1" w:val="clear"/>
            <w:vAlign w:val="center"/>
          </w:tcPr>
          <w:p w14:paraId="5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Расторжение договора аренды, безвозмездного пользования земельным участком</w:t>
            </w:r>
          </w:p>
        </w:tc>
      </w:tr>
      <w:tr>
        <w:trPr>
          <w:trHeight w:hRule="atLeast" w:val="575"/>
        </w:trPr>
        <w:tc>
          <w:tcPr>
            <w:tcW w:type="dxa" w:w="1145"/>
            <w:shd w:themeFill="accent2" w:themeFillTint="32" w:val="clear"/>
            <w:vAlign w:val="center"/>
          </w:tcPr>
          <w:p w14:paraId="51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accent2" w:themeFillTint="32" w:val="clear"/>
            <w:vAlign w:val="center"/>
          </w:tcPr>
          <w:p w14:paraId="5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Расторжение договора аренды муниципального имущества (за исключением земельных участков)</w:t>
            </w:r>
          </w:p>
        </w:tc>
      </w:tr>
      <w:tr>
        <w:trPr>
          <w:trHeight w:hRule="atLeast" w:val="639"/>
        </w:trPr>
        <w:tc>
          <w:tcPr>
            <w:tcW w:type="dxa" w:w="1145"/>
            <w:shd w:themeFill="background1" w:val="clear"/>
            <w:vAlign w:val="center"/>
          </w:tcPr>
          <w:p w14:paraId="53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background1" w:val="clear"/>
            <w:vAlign w:val="center"/>
          </w:tcPr>
          <w:p w14:paraId="5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</w:tr>
      <w:tr>
        <w:trPr>
          <w:trHeight w:hRule="atLeast" w:val="737"/>
        </w:trPr>
        <w:tc>
          <w:tcPr>
            <w:tcW w:type="dxa" w:w="1145"/>
            <w:shd w:themeFill="accent2" w:themeFillTint="32" w:val="clear"/>
            <w:vAlign w:val="center"/>
          </w:tcPr>
          <w:p w14:paraId="55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accent2" w:themeFillTint="32" w:val="clear"/>
            <w:vAlign w:val="center"/>
          </w:tcPr>
          <w:p w14:paraId="5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 xml:space="preserve">Заключение дополнительных соглашений к договорам аренды муниципального имущества </w:t>
            </w:r>
            <w:r>
              <w:rPr>
                <w:rFonts w:ascii="Times New Roman" w:hAnsi="Times New Roman"/>
                <w:color w:val="623B2A"/>
              </w:rPr>
              <w:br/>
            </w:r>
            <w:r>
              <w:rPr>
                <w:rFonts w:ascii="Times New Roman" w:hAnsi="Times New Roman"/>
                <w:color w:val="623B2A"/>
              </w:rPr>
              <w:t>(за исключением земельных участков)</w:t>
            </w:r>
          </w:p>
        </w:tc>
      </w:tr>
      <w:tr>
        <w:trPr>
          <w:trHeight w:hRule="atLeast" w:val="637"/>
        </w:trPr>
        <w:tc>
          <w:tcPr>
            <w:tcW w:type="dxa" w:w="1145"/>
            <w:shd w:themeFill="background1" w:val="clear"/>
            <w:vAlign w:val="center"/>
          </w:tcPr>
          <w:p w14:paraId="57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background1" w:val="clear"/>
            <w:vAlign w:val="center"/>
          </w:tcPr>
          <w:p w14:paraId="5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</w:r>
          </w:p>
        </w:tc>
      </w:tr>
      <w:tr>
        <w:trPr>
          <w:trHeight w:hRule="atLeast" w:val="432"/>
        </w:trPr>
        <w:tc>
          <w:tcPr>
            <w:tcW w:type="dxa" w:w="1145"/>
            <w:shd w:themeFill="accent2" w:themeFillTint="32" w:val="clear"/>
            <w:vAlign w:val="center"/>
          </w:tcPr>
          <w:p w14:paraId="59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accent2" w:themeFillTint="32" w:val="clear"/>
            <w:vAlign w:val="center"/>
          </w:tcPr>
          <w:p w14:paraId="5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Выдача арендатору земельного участка согласия на залог права аренды земельного участка</w:t>
            </w:r>
          </w:p>
        </w:tc>
      </w:tr>
      <w:tr>
        <w:trPr>
          <w:trHeight w:hRule="atLeast" w:val="425"/>
        </w:trPr>
        <w:tc>
          <w:tcPr>
            <w:tcW w:type="dxa" w:w="1145"/>
            <w:shd w:themeFill="background1" w:val="clear"/>
            <w:vAlign w:val="center"/>
          </w:tcPr>
          <w:p w14:paraId="5B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background1" w:val="clear"/>
            <w:vAlign w:val="center"/>
          </w:tcPr>
          <w:p w14:paraId="5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Сверка арендных платежей с арендаторами земельных участков, муниципального имущества</w:t>
            </w:r>
          </w:p>
        </w:tc>
      </w:tr>
      <w:tr>
        <w:trPr>
          <w:trHeight w:hRule="atLeast" w:val="559"/>
        </w:trPr>
        <w:tc>
          <w:tcPr>
            <w:tcW w:type="dxa" w:w="1145"/>
            <w:shd w:themeFill="accent2" w:themeFillTint="32" w:val="clear"/>
            <w:vAlign w:val="center"/>
          </w:tcPr>
          <w:p w14:paraId="5D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accent2" w:themeFillTint="32" w:val="clear"/>
            <w:vAlign w:val="center"/>
          </w:tcPr>
          <w:p w14:paraId="5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</w:r>
          </w:p>
        </w:tc>
      </w:tr>
      <w:tr>
        <w:trPr>
          <w:trHeight w:hRule="atLeast" w:val="567"/>
        </w:trPr>
        <w:tc>
          <w:tcPr>
            <w:tcW w:type="dxa" w:w="1145"/>
            <w:shd w:themeFill="background1" w:val="clear"/>
            <w:vAlign w:val="center"/>
          </w:tcPr>
          <w:p w14:paraId="5F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background1" w:val="clear"/>
            <w:vAlign w:val="center"/>
          </w:tcPr>
          <w:p w14:paraId="6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 xml:space="preserve">Передача в собственность граждан занимаемых ими жилых помещений, находящихся </w:t>
            </w:r>
            <w:r>
              <w:rPr>
                <w:rFonts w:ascii="Times New Roman" w:hAnsi="Times New Roman"/>
                <w:color w:val="623B2A"/>
              </w:rPr>
              <w:br/>
            </w:r>
            <w:r>
              <w:rPr>
                <w:rFonts w:ascii="Times New Roman" w:hAnsi="Times New Roman"/>
                <w:color w:val="623B2A"/>
              </w:rPr>
              <w:t>в муниципальной собственности (приватизация муниципального жилого фонда)</w:t>
            </w:r>
          </w:p>
        </w:tc>
      </w:tr>
      <w:tr>
        <w:trPr>
          <w:trHeight w:hRule="atLeast" w:val="433"/>
        </w:trPr>
        <w:tc>
          <w:tcPr>
            <w:tcW w:type="dxa" w:w="1145"/>
            <w:shd w:themeFill="accent2" w:themeFillTint="32" w:val="clear"/>
            <w:vAlign w:val="center"/>
          </w:tcPr>
          <w:p w14:paraId="61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accent2" w:themeFillTint="32" w:val="clear"/>
            <w:vAlign w:val="center"/>
          </w:tcPr>
          <w:p w14:paraId="6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Передача в муниципальную собственность ранее приватизированных жилых помещений</w:t>
            </w:r>
          </w:p>
        </w:tc>
      </w:tr>
      <w:tr>
        <w:trPr>
          <w:trHeight w:hRule="atLeast" w:val="425"/>
        </w:trPr>
        <w:tc>
          <w:tcPr>
            <w:tcW w:type="dxa" w:w="1145"/>
            <w:shd w:themeFill="background1" w:val="clear"/>
            <w:vAlign w:val="center"/>
          </w:tcPr>
          <w:p w14:paraId="63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background1" w:val="clear"/>
            <w:vAlign w:val="center"/>
          </w:tcPr>
          <w:p w14:paraId="6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Продажа земельного участка без проведения торгов</w:t>
            </w:r>
          </w:p>
        </w:tc>
      </w:tr>
      <w:tr>
        <w:trPr>
          <w:trHeight w:hRule="atLeast" w:val="418"/>
        </w:trPr>
        <w:tc>
          <w:tcPr>
            <w:tcW w:type="dxa" w:w="1145"/>
            <w:shd w:themeFill="accent2" w:themeFillTint="32" w:val="clear"/>
            <w:vAlign w:val="center"/>
          </w:tcPr>
          <w:p w14:paraId="65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accent2" w:themeFillTint="32" w:val="clear"/>
            <w:vAlign w:val="center"/>
          </w:tcPr>
          <w:p w14:paraId="6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Предоставление земельного участка в собственность бесплатно</w:t>
            </w:r>
          </w:p>
        </w:tc>
      </w:tr>
      <w:tr>
        <w:trPr>
          <w:trHeight w:hRule="atLeast" w:val="423"/>
        </w:trPr>
        <w:tc>
          <w:tcPr>
            <w:tcW w:type="dxa" w:w="1145"/>
            <w:shd w:themeFill="background1" w:val="clear"/>
            <w:vAlign w:val="center"/>
          </w:tcPr>
          <w:p w14:paraId="67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background1" w:val="clear"/>
            <w:vAlign w:val="center"/>
          </w:tcPr>
          <w:p w14:paraId="6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Предоставление земельного участка в аренду без проведения торгов</w:t>
            </w:r>
          </w:p>
        </w:tc>
      </w:tr>
      <w:tr>
        <w:trPr>
          <w:trHeight w:hRule="atLeast" w:val="429"/>
        </w:trPr>
        <w:tc>
          <w:tcPr>
            <w:tcW w:type="dxa" w:w="1145"/>
            <w:shd w:themeFill="accent2" w:themeFillTint="32" w:val="clear"/>
            <w:vAlign w:val="center"/>
          </w:tcPr>
          <w:p w14:paraId="69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accent2" w:themeFillTint="32" w:val="clear"/>
            <w:vAlign w:val="center"/>
          </w:tcPr>
          <w:p w14:paraId="6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Предварительное согласование предоставления земельного участка</w:t>
            </w:r>
          </w:p>
        </w:tc>
      </w:tr>
      <w:tr>
        <w:trPr>
          <w:trHeight w:hRule="atLeast" w:val="576"/>
        </w:trPr>
        <w:tc>
          <w:tcPr>
            <w:tcW w:type="dxa" w:w="1145"/>
            <w:shd w:themeFill="background1" w:val="clear"/>
            <w:vAlign w:val="center"/>
          </w:tcPr>
          <w:p w14:paraId="6B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background1" w:val="clear"/>
            <w:vAlign w:val="center"/>
          </w:tcPr>
          <w:p w14:paraId="6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>
        <w:trPr>
          <w:trHeight w:hRule="atLeast" w:val="571"/>
        </w:trPr>
        <w:tc>
          <w:tcPr>
            <w:tcW w:type="dxa" w:w="1145"/>
            <w:shd w:themeFill="accent2" w:themeFillTint="32" w:val="clear"/>
            <w:vAlign w:val="center"/>
          </w:tcPr>
          <w:p w14:paraId="6D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accent2" w:themeFillTint="32" w:val="clear"/>
            <w:vAlign w:val="center"/>
          </w:tcPr>
          <w:p w14:paraId="6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</w:t>
            </w:r>
          </w:p>
        </w:tc>
      </w:tr>
      <w:tr>
        <w:trPr>
          <w:trHeight w:hRule="atLeast" w:val="551"/>
        </w:trPr>
        <w:tc>
          <w:tcPr>
            <w:tcW w:type="dxa" w:w="1145"/>
            <w:shd w:themeFill="background1" w:val="clear"/>
            <w:vAlign w:val="center"/>
          </w:tcPr>
          <w:p w14:paraId="6F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background1" w:val="clear"/>
            <w:vAlign w:val="center"/>
          </w:tcPr>
          <w:p w14:paraId="7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 xml:space="preserve">Предоставление земельного участка, находящегося в муниципальной собственности, </w:t>
            </w:r>
            <w:r>
              <w:rPr>
                <w:rFonts w:ascii="Times New Roman" w:hAnsi="Times New Roman"/>
                <w:color w:val="623B2A"/>
              </w:rPr>
              <w:br/>
            </w:r>
            <w:r>
              <w:rPr>
                <w:rFonts w:ascii="Times New Roman" w:hAnsi="Times New Roman"/>
                <w:color w:val="623B2A"/>
              </w:rPr>
              <w:t>или государственная собственность на который не разграничена, на торгах</w:t>
            </w:r>
          </w:p>
        </w:tc>
      </w:tr>
      <w:tr>
        <w:trPr>
          <w:trHeight w:hRule="atLeast" w:val="431"/>
        </w:trPr>
        <w:tc>
          <w:tcPr>
            <w:tcW w:type="dxa" w:w="1145"/>
            <w:shd w:themeFill="accent2" w:themeFillTint="32" w:val="clear"/>
            <w:vAlign w:val="center"/>
          </w:tcPr>
          <w:p w14:paraId="71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accent2" w:themeFillTint="32" w:val="clear"/>
            <w:vAlign w:val="center"/>
          </w:tcPr>
          <w:p w14:paraId="7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Предоставление земельного участка в постоянное (бессрочное) пользование</w:t>
            </w:r>
          </w:p>
        </w:tc>
      </w:tr>
      <w:tr>
        <w:trPr>
          <w:trHeight w:hRule="atLeast" w:val="496"/>
        </w:trPr>
        <w:tc>
          <w:tcPr>
            <w:tcW w:type="dxa" w:w="1145"/>
            <w:shd w:themeFill="background1" w:val="clear"/>
            <w:vAlign w:val="center"/>
          </w:tcPr>
          <w:p w14:paraId="73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background1" w:val="clear"/>
            <w:vAlign w:val="center"/>
          </w:tcPr>
          <w:p w14:paraId="7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Предоставление земельного участка в безвозмездное пользование</w:t>
            </w:r>
          </w:p>
        </w:tc>
      </w:tr>
      <w:tr>
        <w:trPr>
          <w:trHeight w:hRule="atLeast" w:val="637"/>
        </w:trPr>
        <w:tc>
          <w:tcPr>
            <w:tcW w:type="dxa" w:w="10348"/>
            <w:gridSpan w:val="2"/>
            <w:shd w:themeFill="background1" w:val="clear"/>
            <w:vAlign w:val="center"/>
          </w:tcPr>
          <w:p w14:paraId="7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993300"/>
              </w:rPr>
            </w:pPr>
            <w:r>
              <w:rPr>
                <w:rFonts w:ascii="Times New Roman" w:hAnsi="Times New Roman"/>
                <w:b w:val="1"/>
                <w:color w:val="993300"/>
              </w:rPr>
              <w:t>Муниципальные услуги в сфере архитектуры и градостроительства</w:t>
            </w:r>
          </w:p>
        </w:tc>
      </w:tr>
      <w:tr>
        <w:trPr>
          <w:trHeight w:hRule="atLeast" w:val="1158"/>
        </w:trPr>
        <w:tc>
          <w:tcPr>
            <w:tcW w:type="dxa" w:w="1145"/>
            <w:shd w:themeFill="accent2" w:themeFillTint="32" w:val="clear"/>
            <w:vAlign w:val="center"/>
          </w:tcPr>
          <w:p w14:paraId="76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accent2" w:themeFillTint="32" w:val="clear"/>
            <w:vAlign w:val="center"/>
          </w:tcPr>
          <w:p w14:paraId="7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</w:t>
            </w:r>
            <w:r>
              <w:rPr>
                <w:rFonts w:ascii="Times New Roman" w:hAnsi="Times New Roman"/>
                <w:color w:val="623B2A"/>
              </w:rPr>
              <w:br/>
            </w:r>
            <w:r>
              <w:rPr>
                <w:rFonts w:ascii="Times New Roman" w:hAnsi="Times New Roman"/>
                <w:color w:val="623B2A"/>
              </w:rPr>
              <w:t xml:space="preserve">и внесение изменений в разрешение на строительство объекта капитального строительства </w:t>
            </w:r>
            <w:r>
              <w:rPr>
                <w:rFonts w:ascii="Times New Roman" w:hAnsi="Times New Roman"/>
                <w:color w:val="623B2A"/>
              </w:rPr>
              <w:br/>
            </w:r>
            <w:r>
              <w:rPr>
                <w:rFonts w:ascii="Times New Roman" w:hAnsi="Times New Roman"/>
                <w:color w:val="623B2A"/>
              </w:rPr>
              <w:t>в связи с продлением срока действия такого разрешения)</w:t>
            </w:r>
          </w:p>
        </w:tc>
      </w:tr>
      <w:tr>
        <w:trPr>
          <w:trHeight w:hRule="atLeast" w:val="407"/>
        </w:trPr>
        <w:tc>
          <w:tcPr>
            <w:tcW w:type="dxa" w:w="1145"/>
            <w:shd w:themeFill="background1" w:val="clear"/>
            <w:vAlign w:val="center"/>
          </w:tcPr>
          <w:p w14:paraId="78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background1" w:val="clear"/>
            <w:vAlign w:val="center"/>
          </w:tcPr>
          <w:p w14:paraId="7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Выдача разрешения на ввод объекта в эксплуатацию</w:t>
            </w:r>
          </w:p>
        </w:tc>
      </w:tr>
      <w:tr>
        <w:trPr>
          <w:trHeight w:hRule="atLeast" w:val="568"/>
        </w:trPr>
        <w:tc>
          <w:tcPr>
            <w:tcW w:type="dxa" w:w="1145"/>
            <w:shd w:themeFill="accent2" w:themeFillTint="32" w:val="clear"/>
            <w:vAlign w:val="center"/>
          </w:tcPr>
          <w:p w14:paraId="7A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accent2" w:themeFillTint="32" w:val="clear"/>
            <w:vAlign w:val="center"/>
          </w:tcPr>
          <w:p w14:paraId="7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 xml:space="preserve">Согласование проведения переустройства и (или) перепланировки помещения </w:t>
            </w:r>
            <w:r>
              <w:rPr>
                <w:rFonts w:ascii="Times New Roman" w:hAnsi="Times New Roman"/>
                <w:color w:val="623B2A"/>
              </w:rPr>
              <w:br/>
            </w:r>
            <w:r>
              <w:rPr>
                <w:rFonts w:ascii="Times New Roman" w:hAnsi="Times New Roman"/>
                <w:color w:val="623B2A"/>
              </w:rPr>
              <w:t>в многоквартирном доме</w:t>
            </w:r>
          </w:p>
        </w:tc>
      </w:tr>
      <w:tr>
        <w:trPr>
          <w:trHeight w:hRule="atLeast" w:val="562"/>
        </w:trPr>
        <w:tc>
          <w:tcPr>
            <w:tcW w:type="dxa" w:w="1145"/>
            <w:shd w:themeFill="background1" w:val="clear"/>
            <w:vAlign w:val="center"/>
          </w:tcPr>
          <w:p w14:paraId="7C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background1" w:val="clear"/>
            <w:vAlign w:val="center"/>
          </w:tcPr>
          <w:p w14:paraId="7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Выдача актов приемочной комиссии после переустройства и (или) перепланировки помещения в многоквартирном доме</w:t>
            </w:r>
          </w:p>
        </w:tc>
      </w:tr>
      <w:tr>
        <w:trPr>
          <w:trHeight w:hRule="atLeast" w:val="429"/>
        </w:trPr>
        <w:tc>
          <w:tcPr>
            <w:tcW w:type="dxa" w:w="1145"/>
            <w:shd w:themeFill="accent2" w:themeFillTint="32" w:val="clear"/>
            <w:vAlign w:val="center"/>
          </w:tcPr>
          <w:p w14:paraId="7E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accent2" w:themeFillTint="32" w:val="clear"/>
            <w:vAlign w:val="center"/>
          </w:tcPr>
          <w:p w14:paraId="7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Предоставление градостроительного плана земельного участка</w:t>
            </w:r>
          </w:p>
        </w:tc>
      </w:tr>
      <w:tr>
        <w:trPr>
          <w:trHeight w:hRule="atLeast" w:val="421"/>
        </w:trPr>
        <w:tc>
          <w:tcPr>
            <w:tcW w:type="dxa" w:w="1145"/>
            <w:shd w:themeFill="background1" w:val="clear"/>
            <w:vAlign w:val="center"/>
          </w:tcPr>
          <w:p w14:paraId="80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background1" w:val="clear"/>
            <w:vAlign w:val="center"/>
          </w:tcPr>
          <w:p w14:paraId="8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>
        <w:trPr>
          <w:trHeight w:hRule="atLeast" w:val="427"/>
        </w:trPr>
        <w:tc>
          <w:tcPr>
            <w:tcW w:type="dxa" w:w="1145"/>
            <w:shd w:themeFill="accent2" w:themeFillTint="32" w:val="clear"/>
            <w:vAlign w:val="center"/>
          </w:tcPr>
          <w:p w14:paraId="82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accent2" w:themeFillTint="32" w:val="clear"/>
            <w:vAlign w:val="center"/>
          </w:tcPr>
          <w:p w14:paraId="8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Выдача разрешений на установку и эксплуатацию рекламных конструкций</w:t>
            </w:r>
          </w:p>
        </w:tc>
      </w:tr>
      <w:tr>
        <w:trPr>
          <w:trHeight w:hRule="atLeast" w:val="574"/>
        </w:trPr>
        <w:tc>
          <w:tcPr>
            <w:tcW w:type="dxa" w:w="1145"/>
            <w:shd w:themeFill="background1" w:val="clear"/>
            <w:vAlign w:val="center"/>
          </w:tcPr>
          <w:p w14:paraId="84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background1" w:val="clear"/>
            <w:vAlign w:val="center"/>
          </w:tcPr>
          <w:p w14:paraId="8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Предоставление сведений информационной системы обеспечения градостроительной деятельности</w:t>
            </w:r>
          </w:p>
        </w:tc>
      </w:tr>
      <w:tr>
        <w:trPr>
          <w:trHeight w:hRule="atLeast" w:val="569"/>
        </w:trPr>
        <w:tc>
          <w:tcPr>
            <w:tcW w:type="dxa" w:w="1145"/>
            <w:shd w:themeFill="accent2" w:themeFillTint="32" w:val="clear"/>
            <w:vAlign w:val="center"/>
          </w:tcPr>
          <w:p w14:paraId="86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accent2" w:themeFillTint="32" w:val="clear"/>
            <w:vAlign w:val="center"/>
          </w:tcPr>
          <w:p w14:paraId="8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>
        <w:trPr>
          <w:trHeight w:hRule="atLeast" w:val="422"/>
        </w:trPr>
        <w:tc>
          <w:tcPr>
            <w:tcW w:type="dxa" w:w="1145"/>
            <w:shd w:themeFill="background1" w:val="clear"/>
            <w:vAlign w:val="center"/>
          </w:tcPr>
          <w:p w14:paraId="88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background1" w:val="clear"/>
            <w:vAlign w:val="center"/>
          </w:tcPr>
          <w:p w14:paraId="8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Присвоение, изменение и аннулирование адреса объекта адресации</w:t>
            </w:r>
          </w:p>
        </w:tc>
      </w:tr>
      <w:tr>
        <w:trPr>
          <w:trHeight w:hRule="atLeast" w:val="554"/>
        </w:trPr>
        <w:tc>
          <w:tcPr>
            <w:tcW w:type="dxa" w:w="1145"/>
            <w:shd w:themeFill="accent2" w:themeFillTint="32" w:val="clear"/>
            <w:vAlign w:val="center"/>
          </w:tcPr>
          <w:p w14:paraId="8A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accent2" w:themeFillTint="32" w:val="clear"/>
            <w:vAlign w:val="center"/>
          </w:tcPr>
          <w:p w14:paraId="8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</w:t>
            </w:r>
          </w:p>
        </w:tc>
      </w:tr>
      <w:tr>
        <w:trPr>
          <w:trHeight w:hRule="atLeast" w:val="860"/>
        </w:trPr>
        <w:tc>
          <w:tcPr>
            <w:tcW w:type="dxa" w:w="1145"/>
            <w:shd w:themeFill="background1" w:val="clear"/>
            <w:vAlign w:val="center"/>
          </w:tcPr>
          <w:p w14:paraId="8C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background1" w:val="clear"/>
            <w:vAlign w:val="center"/>
          </w:tcPr>
          <w:p w14:paraId="8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 xml:space="preserve">Согласование проектов внешнего благоустройства и элементов внешнего благоустройства, </w:t>
            </w:r>
            <w:r>
              <w:rPr>
                <w:rFonts w:ascii="Times New Roman" w:hAnsi="Times New Roman"/>
                <w:color w:val="623B2A"/>
              </w:rPr>
              <w:br/>
            </w:r>
            <w:r>
              <w:rPr>
                <w:rFonts w:ascii="Times New Roman" w:hAnsi="Times New Roman"/>
                <w:color w:val="623B2A"/>
              </w:rPr>
              <w:t>в том числе проектов декоративной подсветки фасадов зданий и сооружений, памятников, малых архитектурных форм</w:t>
            </w:r>
          </w:p>
        </w:tc>
      </w:tr>
      <w:tr>
        <w:trPr>
          <w:trHeight w:hRule="atLeast" w:val="1126"/>
        </w:trPr>
        <w:tc>
          <w:tcPr>
            <w:tcW w:type="dxa" w:w="1145"/>
            <w:shd w:themeFill="accent2" w:themeFillTint="32" w:val="clear"/>
            <w:vAlign w:val="center"/>
          </w:tcPr>
          <w:p w14:paraId="8E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accent2" w:themeFillTint="32" w:val="clear"/>
            <w:vAlign w:val="center"/>
          </w:tcPr>
          <w:p w14:paraId="8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 xml:space="preserve">Направление уведомления о соответствии (несоответствии) указанных в уведомлении </w:t>
            </w:r>
            <w:r>
              <w:rPr>
                <w:rFonts w:ascii="Times New Roman" w:hAnsi="Times New Roman"/>
                <w:color w:val="623B2A"/>
              </w:rPr>
              <w:br/>
            </w:r>
            <w:r>
              <w:rPr>
                <w:rFonts w:ascii="Times New Roman" w:hAnsi="Times New Roman"/>
                <w:color w:val="623B2A"/>
              </w:rPr>
              <w:t>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>
        <w:trPr>
          <w:trHeight w:hRule="atLeast" w:val="846"/>
        </w:trPr>
        <w:tc>
          <w:tcPr>
            <w:tcW w:type="dxa" w:w="1145"/>
            <w:shd w:themeFill="background1" w:val="clear"/>
            <w:vAlign w:val="center"/>
          </w:tcPr>
          <w:p w14:paraId="90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background1" w:val="clear"/>
          </w:tcPr>
          <w:p w14:paraId="9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 xml:space="preserve">Направление уведомления о соответствии (несоответствии) построенных </w:t>
            </w:r>
            <w:r>
              <w:rPr>
                <w:rFonts w:ascii="Times New Roman" w:hAnsi="Times New Roman"/>
                <w:color w:val="623B2A"/>
              </w:rPr>
              <w:br/>
            </w:r>
            <w:r>
              <w:rPr>
                <w:rFonts w:ascii="Times New Roman" w:hAnsi="Times New Roman"/>
                <w:color w:val="623B2A"/>
              </w:rPr>
              <w:t>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>
        <w:trPr>
          <w:trHeight w:hRule="atLeast" w:val="501"/>
        </w:trPr>
        <w:tc>
          <w:tcPr>
            <w:tcW w:type="dxa" w:w="10348"/>
            <w:gridSpan w:val="2"/>
            <w:shd w:themeFill="background1" w:val="clear"/>
            <w:vAlign w:val="center"/>
          </w:tcPr>
          <w:p w14:paraId="9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993300"/>
              </w:rPr>
            </w:pPr>
            <w:r>
              <w:rPr>
                <w:rFonts w:ascii="Times New Roman" w:hAnsi="Times New Roman"/>
                <w:b w:val="1"/>
                <w:color w:val="993300"/>
              </w:rPr>
              <w:t>Муниципальные услуги в жилищной сфере</w:t>
            </w:r>
          </w:p>
        </w:tc>
      </w:tr>
      <w:tr>
        <w:trPr>
          <w:trHeight w:hRule="atLeast" w:val="712"/>
        </w:trPr>
        <w:tc>
          <w:tcPr>
            <w:tcW w:type="dxa" w:w="1145"/>
            <w:shd w:themeFill="accent2" w:themeFillTint="32" w:val="clear"/>
            <w:vAlign w:val="center"/>
          </w:tcPr>
          <w:p w14:paraId="93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accent2" w:themeFillTint="32" w:val="clear"/>
            <w:vAlign w:val="center"/>
          </w:tcPr>
          <w:p w14:paraId="9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Постановка на учет граждан в качестве нуждающихся в жилых помещениях, предоставляемых по договорам социального найма</w:t>
            </w:r>
          </w:p>
        </w:tc>
      </w:tr>
      <w:tr>
        <w:trPr>
          <w:trHeight w:hRule="atLeast" w:val="1559"/>
        </w:trPr>
        <w:tc>
          <w:tcPr>
            <w:tcW w:type="dxa" w:w="1145"/>
            <w:shd w:themeFill="background1" w:val="clear"/>
            <w:vAlign w:val="center"/>
          </w:tcPr>
          <w:p w14:paraId="95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background1" w:val="clear"/>
            <w:vAlign w:val="center"/>
          </w:tcPr>
          <w:p w14:paraId="9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Включение молодых семей, нуждающихся в улучшении жилищных условий,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      </w:r>
          </w:p>
        </w:tc>
      </w:tr>
      <w:tr>
        <w:trPr>
          <w:trHeight w:hRule="atLeast" w:val="737"/>
        </w:trPr>
        <w:tc>
          <w:tcPr>
            <w:tcW w:type="dxa" w:w="1145"/>
            <w:shd w:themeFill="accent2" w:themeFillTint="32" w:val="clear"/>
            <w:vAlign w:val="center"/>
          </w:tcPr>
          <w:p w14:paraId="97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accent2" w:themeFillTint="32" w:val="clear"/>
            <w:vAlign w:val="center"/>
          </w:tcPr>
          <w:p w14:paraId="9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 xml:space="preserve">Признание помещения жилым помещением, жилого помещения пригодным (непригодным) </w:t>
            </w:r>
            <w:r>
              <w:rPr>
                <w:rFonts w:ascii="Times New Roman" w:hAnsi="Times New Roman"/>
                <w:color w:val="623B2A"/>
              </w:rPr>
              <w:br/>
            </w:r>
            <w:r>
              <w:rPr>
                <w:rFonts w:ascii="Times New Roman" w:hAnsi="Times New Roman"/>
                <w:color w:val="623B2A"/>
              </w:rPr>
              <w:t xml:space="preserve">для проживания граждан, а также многоквартирного дома аварийным </w:t>
            </w:r>
          </w:p>
          <w:p w14:paraId="9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и подлежащим сносу или реконструкции</w:t>
            </w:r>
          </w:p>
        </w:tc>
      </w:tr>
      <w:tr>
        <w:trPr>
          <w:trHeight w:hRule="atLeast" w:val="597"/>
        </w:trPr>
        <w:tc>
          <w:tcPr>
            <w:tcW w:type="dxa" w:w="10348"/>
            <w:gridSpan w:val="2"/>
            <w:shd w:themeFill="background1" w:val="clear"/>
            <w:vAlign w:val="center"/>
          </w:tcPr>
          <w:p w14:paraId="9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993300"/>
              </w:rPr>
            </w:pPr>
            <w:r>
              <w:rPr>
                <w:rFonts w:ascii="Times New Roman" w:hAnsi="Times New Roman"/>
                <w:b w:val="1"/>
                <w:color w:val="993300"/>
              </w:rPr>
              <w:t>Муниципальные услуги в сфере архивного дела</w:t>
            </w:r>
          </w:p>
        </w:tc>
      </w:tr>
      <w:tr>
        <w:trPr>
          <w:trHeight w:hRule="atLeast" w:val="726"/>
        </w:trPr>
        <w:tc>
          <w:tcPr>
            <w:tcW w:type="dxa" w:w="1145"/>
            <w:shd w:themeFill="accent2" w:themeFillTint="32" w:val="clear"/>
            <w:vAlign w:val="center"/>
          </w:tcPr>
          <w:p w14:paraId="9B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accent2" w:themeFillTint="32" w:val="clear"/>
            <w:vAlign w:val="center"/>
          </w:tcPr>
          <w:p w14:paraId="9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623B2A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</w:tr>
      <w:tr>
        <w:trPr>
          <w:trHeight w:hRule="atLeast" w:val="546"/>
        </w:trPr>
        <w:tc>
          <w:tcPr>
            <w:tcW w:type="dxa" w:w="10348"/>
            <w:gridSpan w:val="2"/>
            <w:shd w:themeFill="background1" w:val="clear"/>
            <w:vAlign w:val="center"/>
          </w:tcPr>
          <w:p w14:paraId="9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993300"/>
              </w:rPr>
            </w:pPr>
            <w:r>
              <w:rPr>
                <w:rFonts w:ascii="Times New Roman" w:hAnsi="Times New Roman"/>
                <w:b w:val="1"/>
                <w:color w:val="993300"/>
              </w:rPr>
              <w:t>Услуги органов ЗАГС</w:t>
            </w:r>
          </w:p>
        </w:tc>
      </w:tr>
      <w:tr>
        <w:trPr>
          <w:trHeight w:hRule="atLeast" w:val="804"/>
        </w:trPr>
        <w:tc>
          <w:tcPr>
            <w:tcW w:type="dxa" w:w="1145"/>
            <w:shd w:themeFill="accent2" w:themeFillTint="32" w:val="clear"/>
            <w:vAlign w:val="center"/>
          </w:tcPr>
          <w:p w14:paraId="9E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accent2" w:themeFillTint="32" w:val="clear"/>
            <w:vAlign w:val="center"/>
          </w:tcPr>
          <w:p w14:paraId="9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Государственная регистрация заключения брака (в части приема заявления о предоставлении государственной услуги)</w:t>
            </w:r>
          </w:p>
        </w:tc>
      </w:tr>
      <w:tr>
        <w:trPr>
          <w:trHeight w:hRule="atLeast" w:val="1084"/>
        </w:trPr>
        <w:tc>
          <w:tcPr>
            <w:tcW w:type="dxa" w:w="1145"/>
            <w:shd w:themeFill="background1" w:val="clear"/>
            <w:vAlign w:val="center"/>
          </w:tcPr>
          <w:p w14:paraId="A0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background1" w:val="clear"/>
            <w:vAlign w:val="center"/>
          </w:tcPr>
          <w:p w14:paraId="A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Государственная регистрация расторжения брака (по взаимному согласию супругов, не имеющих общих несовершеннолетних детей (в части приема заявления о предоставлении государственной услуги))</w:t>
            </w:r>
          </w:p>
        </w:tc>
      </w:tr>
      <w:tr>
        <w:trPr>
          <w:trHeight w:hRule="atLeast" w:val="680"/>
        </w:trPr>
        <w:tc>
          <w:tcPr>
            <w:tcW w:type="dxa" w:w="1145"/>
            <w:shd w:themeFill="accent2" w:themeFillTint="32" w:val="clear"/>
            <w:vAlign w:val="center"/>
          </w:tcPr>
          <w:p w14:paraId="A2000000">
            <w:pPr>
              <w:numPr>
                <w:ilvl w:val="0"/>
                <w:numId w:val="1"/>
              </w:numPr>
              <w:spacing w:after="0" w:line="240" w:lineRule="auto"/>
              <w:ind/>
              <w:contextualSpacing w:val="1"/>
              <w:rPr>
                <w:rFonts w:ascii="Times New Roman" w:hAnsi="Times New Roman"/>
                <w:color w:val="623B2A"/>
              </w:rPr>
            </w:pPr>
          </w:p>
        </w:tc>
        <w:tc>
          <w:tcPr>
            <w:tcW w:type="dxa" w:w="9203"/>
            <w:shd w:themeFill="accent2" w:themeFillTint="32" w:val="clear"/>
            <w:vAlign w:val="center"/>
          </w:tcPr>
          <w:p w14:paraId="A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623B2A"/>
              </w:rPr>
            </w:pPr>
            <w:r>
              <w:rPr>
                <w:rFonts w:ascii="Times New Roman" w:hAnsi="Times New Roman"/>
                <w:color w:val="623B2A"/>
              </w:rPr>
              <w:t>Прием заявления о повторной выдаче свидетельства о государственной регистрации акта гражданского состояния или иного документа, подтверждающего наличие либо отсутствие факта государственной регистрации акта гражданского состояния, и повторная выдача свидетельства о государственной регистрации акта гражданского состояния или иного документа, подтверждающего наличие либо отсутствие факта государственной регистрации акта гражданского состояния»</w:t>
            </w:r>
          </w:p>
        </w:tc>
      </w:tr>
    </w:tbl>
    <w:p w14:paraId="A4000000">
      <w:pPr>
        <w:spacing w:after="0" w:line="240" w:lineRule="auto"/>
        <w:ind/>
      </w:pPr>
    </w:p>
    <w:p w14:paraId="A5000000"/>
    <w:sectPr>
      <w:pgSz w:h="16838" w:orient="portrait" w:w="11906"/>
      <w:pgMar w:bottom="1134" w:footer="709" w:gutter="0" w:header="709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2023-12-22T12:14:24Z</dcterms:modified>
</cp:coreProperties>
</file>