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B0" w:rsidRDefault="000576CF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69" cy="97917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69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2CB0" w:rsidRDefault="000576CF">
                            <w:pPr>
                              <w:pStyle w:val="10"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</w:rPr>
                              <w:t xml:space="preserve">Информация о порядке возмещения вреда, причиненного </w:t>
                            </w:r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</w:rPr>
                              <w:br/>
                              <w:t>заявителю в результате неисполнения обязанностей МФЦ</w:t>
                            </w:r>
                          </w:p>
                          <w:p w:rsidR="00B82CB0" w:rsidRDefault="000576CF">
                            <w:pPr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955106" cy="45719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55106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2CB0" w:rsidRDefault="00B82CB0">
                            <w:pPr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color w:val="5B2915"/>
                                <w:sz w:val="24"/>
                              </w:rPr>
                            </w:pP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 xml:space="preserve">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 xml:space="preserve">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 законодательством Российской Федерации.</w:t>
                            </w:r>
                          </w:p>
                          <w:p w:rsidR="00B82CB0" w:rsidRDefault="00B82CB0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16"/>
                              </w:rPr>
                            </w:pPr>
                          </w:p>
                          <w:p w:rsidR="00B82CB0" w:rsidRDefault="000576CF">
                            <w:pPr>
                              <w:spacing w:line="240" w:lineRule="auto"/>
                              <w:ind w:right="478"/>
                              <w:jc w:val="center"/>
                              <w:rPr>
                                <w:rFonts w:ascii="PT Sans" w:hAnsi="PT Sans"/>
                                <w:i/>
                                <w:color w:val="5B2915"/>
                                <w:sz w:val="22"/>
                              </w:rPr>
                            </w:pP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2"/>
                              </w:rPr>
                              <w:t>(часть 6 стат</w:t>
                            </w: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2"/>
                              </w:rPr>
                              <w:t>ьи 16 Федерального закона от 27 июля 2010 г. № 210-ФЗ «Об организации предоставления государственных и муниципальных услуг»)</w:t>
                            </w:r>
                          </w:p>
                          <w:p w:rsidR="00B82CB0" w:rsidRDefault="00B82CB0">
                            <w:pPr>
                              <w:spacing w:line="240" w:lineRule="auto"/>
                              <w:ind w:right="478"/>
                              <w:jc w:val="center"/>
                              <w:rPr>
                                <w:rFonts w:ascii="PT Sans" w:hAnsi="PT Sans"/>
                                <w:i/>
                                <w:color w:val="5B2915"/>
                                <w:sz w:val="16"/>
                              </w:rPr>
                            </w:pP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Вред, причиненный личности или имуществу гражданина, а также вред, причиненный имуществу юридического лица, подлежит возмещению в 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полном объеме лицом, причинившим вред.</w:t>
                            </w: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 xml:space="preserve">Законом или договором может быть установлена обязанность причинителя вреда выплатить потерпевшим компенсацию сверх возмещения вреда. Законом может быть установлена обязанность лица, не являющегося причинителем вреда, 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выплатить потерпевшим компенсацию сверх возмещения вреда.</w:t>
                            </w: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причинителя вреда.</w:t>
                            </w: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Вред, причиненный правомерными действиями, подлежит возмещению в случаях, предусмотренных законом.</w:t>
                            </w: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В возмещении вреда может быть отказано, если вред причинен по просьбе или с согласия потерпевшего, а действия причинителя вреда не нарушают нравственные прин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ципы общества.</w:t>
                            </w:r>
                          </w:p>
                          <w:p w:rsidR="00B82CB0" w:rsidRDefault="00B82CB0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16"/>
                              </w:rPr>
                            </w:pPr>
                          </w:p>
                          <w:p w:rsidR="00B82CB0" w:rsidRDefault="000576CF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i/>
                                <w:color w:val="5B2915"/>
                                <w:sz w:val="22"/>
                              </w:rPr>
                            </w:pP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2"/>
                              </w:rPr>
                              <w:t>(статья 1064 «Гражданского кодекса Российской Федерации» от 30.11.1994 № 51-ФЗ)</w:t>
                            </w:r>
                            <w:bookmarkEnd w:id="0"/>
                          </w:p>
                          <w:p w:rsidR="00B82CB0" w:rsidRDefault="00B82CB0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bookmarkStart w:id="1" w:name="_GoBack"/>
      <w:bookmarkEnd w:id="1"/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-2020044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560310" cy="10668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CB0">
      <w:pgSz w:w="11906" w:h="16838"/>
      <w:pgMar w:top="0" w:right="0" w:bottom="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B0"/>
    <w:rsid w:val="000576CF"/>
    <w:rsid w:val="00B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97729-42CD-4375-9213-06F6F3AE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/>
    </w:pPr>
    <w:rPr>
      <w:rFonts w:ascii="Arial" w:hAnsi="Arial"/>
      <w:color w:val="623B2A"/>
      <w:sz w:val="4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="Arial Black" w:hAnsi="Arial Black"/>
      <w:b/>
      <w:color w:val="E04E39"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623B2A"/>
      <w:sz w:val="4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6">
    <w:name w:val="Абзац списка Знак"/>
    <w:basedOn w:val="1"/>
    <w:link w:val="a5"/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 Black" w:hAnsi="Arial Black"/>
      <w:b/>
      <w:color w:val="E04E39"/>
      <w:sz w:val="56"/>
    </w:rPr>
  </w:style>
  <w:style w:type="paragraph" w:customStyle="1" w:styleId="12">
    <w:name w:val="фс 1"/>
    <w:basedOn w:val="10"/>
    <w:link w:val="13"/>
    <w:pPr>
      <w:jc w:val="center"/>
    </w:pPr>
    <w:rPr>
      <w:sz w:val="25"/>
    </w:rPr>
  </w:style>
  <w:style w:type="character" w:customStyle="1" w:styleId="13">
    <w:name w:val="фс 1"/>
    <w:basedOn w:val="11"/>
    <w:link w:val="12"/>
    <w:rPr>
      <w:rFonts w:ascii="Arial Black" w:hAnsi="Arial Black"/>
      <w:b/>
      <w:color w:val="E04E39"/>
      <w:sz w:val="25"/>
    </w:rPr>
  </w:style>
  <w:style w:type="paragraph" w:customStyle="1" w:styleId="14">
    <w:name w:val="Гиперссылка1"/>
    <w:basedOn w:val="15"/>
    <w:link w:val="a7"/>
    <w:rPr>
      <w:color w:val="0000FF" w:themeColor="hyperlink"/>
      <w:u w:val="single"/>
    </w:rPr>
  </w:style>
  <w:style w:type="character" w:styleId="a7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a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623B2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Arial" w:hAnsi="Arial"/>
      <w:color w:val="C39367"/>
      <w:sz w:val="40"/>
    </w:rPr>
  </w:style>
  <w:style w:type="character" w:customStyle="1" w:styleId="ad">
    <w:name w:val="Без интервала Знак"/>
    <w:link w:val="ac"/>
    <w:rPr>
      <w:rFonts w:ascii="Arial" w:hAnsi="Arial"/>
      <w:color w:val="C39367"/>
      <w:sz w:val="40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2023-12-25T12:16:00Z</dcterms:created>
  <dcterms:modified xsi:type="dcterms:W3CDTF">2023-12-25T12:16:00Z</dcterms:modified>
</cp:coreProperties>
</file>