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Pag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widowControl w:val="false"/>
        <w:spacing w:lineRule="atLeast" w:line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изменений в положение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о закупке товаров, работ, услуг для нужд муниципального автономного учреждения Мартыновского района «Многофункциональный центр предоставления государственных и муниципальных услуг»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(от 04.12.2023 года)</w:t>
      </w:r>
    </w:p>
    <w:p>
      <w:pPr>
        <w:pStyle w:val="ConsPlusNormal"/>
        <w:widowControl w:val="false"/>
        <w:spacing w:lineRule="auto" w:line="36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п.п. 2.1. Раздела 2 Главы 1 Положения о закупке в следующей редакции:</w:t>
      </w:r>
    </w:p>
    <w:p>
      <w:pPr>
        <w:pStyle w:val="ConsPlusNormal"/>
        <w:widowControl w:val="false"/>
        <w:spacing w:lineRule="auto" w:line="36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cs="Times New Roman" w:ascii="Times New Roman" w:hAnsi="Times New Roman"/>
          <w:sz w:val="28"/>
          <w:szCs w:val="28"/>
        </w:rPr>
        <w:t>2.1. Для целей настоящего Положения о закупках используются следующие основные понятия:</w:t>
      </w:r>
    </w:p>
    <w:p>
      <w:pPr>
        <w:pStyle w:val="Normal"/>
        <w:spacing w:lineRule="auto" w:line="240" w:before="0" w:after="0"/>
        <w:ind w:left="0" w:righ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Заказчик</w:t>
      </w:r>
      <w:r>
        <w:rPr>
          <w:rFonts w:cs="Times New Roman" w:ascii="Times New Roman" w:hAnsi="Times New Roman"/>
          <w:iCs/>
          <w:sz w:val="28"/>
          <w:szCs w:val="28"/>
        </w:rPr>
        <w:t xml:space="preserve"> — юридическое лицо, </w:t>
      </w:r>
      <w:r>
        <w:rPr>
          <w:rFonts w:cs="Times New Roman" w:ascii="Times New Roman" w:hAnsi="Times New Roman"/>
          <w:bCs/>
          <w:sz w:val="28"/>
          <w:szCs w:val="28"/>
        </w:rPr>
        <w:t>муниципальное  автономное  учреждение  Мартыновского района «Многофункциональный  центр предоставления  государственных  и  муниципальных  услуг» (далее МАУ МФЦ Мартыновского района)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Аукцион </w:t>
      </w:r>
      <w:r>
        <w:rPr>
          <w:rFonts w:cs="Times New Roman" w:ascii="Times New Roman" w:hAnsi="Times New Roman"/>
          <w:sz w:val="28"/>
          <w:szCs w:val="28"/>
        </w:rPr>
        <w:t>— это форма торгов, где победителем аукциона, с которым заключается договор, признаётся лицо, заявка которого соответствует требованиям, установленным документацией о закупке, и которое предложило наиболее низкую цену договора путём снижения начальной (максимальной) цены договора, указанной в извещении о проведении аукциона, на установленную в документации о закупке величину (далее — «шаг аукциона»). Если при проведении аукциона цена договора снижена до нуля, аукцион проводится на право заключить договор. В этом случае победителем аукциона признаётся лицо, заявка которого соответствует требованиям, установленным документацией о закупке, и которое предложило наиболее высокую цену за право заключить договор.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Единая информационная система (далее — ЕИС)</w:t>
      </w:r>
      <w:r>
        <w:rPr>
          <w:rFonts w:cs="Times New Roman" w:ascii="Times New Roman" w:hAnsi="Times New Roman"/>
          <w:sz w:val="28"/>
          <w:szCs w:val="28"/>
        </w:rPr>
        <w:t xml:space="preserve"> — совокупность информации, содержащейся в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базах данных, информационных технологий и технических средств, обеспечивающих формирование, обработку, хранение такой информации, а также её предоставление с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использованием официального сайта единой информационной системы в информационно-телекоммуникационной сети Интернет.</w:t>
      </w:r>
    </w:p>
    <w:p>
      <w:pPr>
        <w:pStyle w:val="Style21"/>
        <w:spacing w:before="0" w:after="0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Закупка у единственного поставщика (подрядчика, исполнителя)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—</w:t>
      </w:r>
      <w:r>
        <w:rPr>
          <w:sz w:val="28"/>
          <w:szCs w:val="28"/>
        </w:rPr>
        <w:t xml:space="preserve"> способ закупки, в результате которого Заказчиком заключается договор с определённым поставщиком (подрядчиком, исполнителем) без проведения конкурентных закупок.</w:t>
      </w:r>
    </w:p>
    <w:p>
      <w:pPr>
        <w:pStyle w:val="Style22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Комиссия по осуществлению закупок (далее — Комиссия) </w:t>
      </w:r>
      <w:r>
        <w:rPr>
          <w:rFonts w:cs="Times New Roman" w:ascii="Times New Roman" w:hAnsi="Times New Roman"/>
          <w:sz w:val="28"/>
          <w:szCs w:val="28"/>
        </w:rPr>
        <w:t>— постоянно действующий коллегиальный орган, создаваемый Заказчиком для осуществления закупочной деятельности.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Конкурентная закупка </w:t>
      </w:r>
      <w:r>
        <w:rPr>
          <w:rFonts w:cs="Times New Roman" w:ascii="Times New Roman" w:hAnsi="Times New Roman"/>
          <w:sz w:val="28"/>
          <w:szCs w:val="28"/>
        </w:rPr>
        <w:t xml:space="preserve">— </w:t>
      </w:r>
      <w:r>
        <w:rPr>
          <w:rFonts w:cs="Times New Roman" w:ascii="Times New Roman" w:hAnsi="Times New Roman"/>
          <w:b/>
          <w:sz w:val="28"/>
          <w:szCs w:val="28"/>
        </w:rPr>
        <w:t>закупка, осуществляемая с соблюдением одновременно следующих условий: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информация о конкурентной закупке сообщается Заказчиком одним из следующих способов: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путём размещения в единой информационной системе извещения об осуществлении конкурентной закупки, которое доступно неограниченному кругу лиц, с приложением документации о конкурентной закупке;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посредством направления приглашений принять участие в закрытой конкурентной закупке в случаях, которые предусмотрены статьёй 3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№223-ФЗ, с приложением документации о конкурентной закупке не менее чем двум лицам, которые способны осуществить поставки товаров, выполнение работ, оказание услуг, являющихся предметом такой закупки;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обеспечивается конкуренция между участниками конкурентной закупки за право заключить договор с Заказчиком на условиях, предлагаемых в заявках на участие в такой закупке, окончательных предложениях участников такой закупки;</w:t>
      </w:r>
    </w:p>
    <w:p>
      <w:pPr>
        <w:pStyle w:val="ConsPlus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описание предмета конкурентной закупки осуществляется с соблюдением требований части 6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ст.3 Федерального закона №223-ФЗ и Положения о закупках.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Закрытые способы закупки</w:t>
      </w:r>
      <w:r>
        <w:rPr>
          <w:rFonts w:cs="Times New Roman" w:ascii="Times New Roman" w:hAnsi="Times New Roman"/>
          <w:sz w:val="28"/>
          <w:szCs w:val="28"/>
        </w:rPr>
        <w:t xml:space="preserve"> — если сведения о такой закупке составляют государственную тайну, а также ещё в двух случаях: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N 223-ФЗ; если в отношении такой закупки Правительством Российской Федерации принято решение в соответствии с частью 16 статьи 4 Закон №223-ФЗ.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Закупка в электронной форме</w:t>
      </w:r>
      <w:r>
        <w:rPr>
          <w:rFonts w:cs="Times New Roman" w:ascii="Times New Roman" w:hAnsi="Times New Roman"/>
          <w:sz w:val="28"/>
          <w:szCs w:val="28"/>
        </w:rPr>
        <w:t xml:space="preserve"> — способ закупки, осуществляемый на электронной торговой площадке.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Документация о закупке </w:t>
      </w:r>
      <w:r>
        <w:rPr>
          <w:rFonts w:cs="Times New Roman" w:ascii="Times New Roman" w:hAnsi="Times New Roman"/>
          <w:sz w:val="28"/>
          <w:szCs w:val="28"/>
        </w:rPr>
        <w:t>— это комплект документов, содержащий всю необходимую и достаточную информацию о предмете конкурентной закупки, условиях её проведения. В неё включают извещение о конкурентной закупке, документацию о конкурентной закупке (за исключением запроса котировок), проект договора, являющийся неотъемлемой частью извещения об осуществлении конкурентной закупки.</w:t>
      </w:r>
    </w:p>
    <w:p>
      <w:pPr>
        <w:pStyle w:val="Style22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Заявка на участие </w:t>
      </w:r>
      <w:r>
        <w:rPr>
          <w:rFonts w:cs="Times New Roman" w:ascii="Times New Roman" w:hAnsi="Times New Roman"/>
          <w:sz w:val="28"/>
          <w:szCs w:val="28"/>
        </w:rPr>
        <w:t>(далее — Заявка) — комплект документов, содержащий предложение участника закупки, направленный Заказчику по форме и в порядке, установленном документацией о закупке, с намерением принять участие в закупке и впоследствии заключить договор на условиях, определённых документацией о закупке.</w:t>
      </w:r>
    </w:p>
    <w:p>
      <w:pPr>
        <w:pStyle w:val="Normal"/>
        <w:spacing w:lineRule="auto" w:line="240" w:before="0" w:after="0"/>
        <w:ind w:left="0" w:righ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Запрос </w:t>
      </w:r>
      <w:r>
        <w:rPr>
          <w:rFonts w:cs="Times New Roman" w:ascii="Times New Roman" w:hAnsi="Times New Roman"/>
          <w:b/>
          <w:sz w:val="28"/>
          <w:szCs w:val="28"/>
        </w:rPr>
        <w:t xml:space="preserve">котировок в электронной форме </w:t>
      </w:r>
      <w:r>
        <w:rPr>
          <w:rFonts w:cs="Times New Roman" w:ascii="Times New Roman" w:hAnsi="Times New Roman"/>
          <w:sz w:val="28"/>
          <w:szCs w:val="28"/>
        </w:rPr>
        <w:t>— это форма торгов, при которой победителем запроса котировок признаётся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договора.</w:t>
      </w:r>
    </w:p>
    <w:p>
      <w:pPr>
        <w:pStyle w:val="Normal"/>
        <w:spacing w:lineRule="auto" w:line="240" w:before="0" w:after="0"/>
        <w:ind w:left="0" w:righ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Запрос предложений в электронной форме</w:t>
      </w:r>
      <w:r>
        <w:rPr>
          <w:rFonts w:cs="Times New Roman" w:ascii="Times New Roman" w:hAnsi="Times New Roman"/>
          <w:sz w:val="28"/>
          <w:szCs w:val="28"/>
        </w:rPr>
        <w:t xml:space="preserve"> — это форма торгов, где победителем запроса предложений признаётся участник конкурентной закупки, заявка на участие, которая наиболее полно соответствует требованиям документации о закупке и содержит лучшие условия поставки товаров, выполнения работ, оказания услуг.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Конкурс</w:t>
      </w:r>
      <w:r>
        <w:rPr>
          <w:rFonts w:cs="Times New Roman" w:ascii="Times New Roman" w:hAnsi="Times New Roman"/>
          <w:sz w:val="28"/>
          <w:szCs w:val="28"/>
        </w:rPr>
        <w:t xml:space="preserve"> — это форма торгов, при которой победителем конкурса признаётся участник конкурентной закупки, заявка на участие в конкурентной закупке, окончательное предложение которого соответствует требованиям, установленным документацией о конкурентной закупке; заявка победителя по результатам сопоставления других заявок (окончательных предложений), на основании указанных в документации о закупке критериев оценки, содержит лучшие условия исполнения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</w:t>
      </w:r>
      <w:r>
        <w:rPr>
          <w:rFonts w:cs="Times New Roman" w:ascii="Times New Roman" w:hAnsi="Times New Roman"/>
          <w:sz w:val="28"/>
          <w:szCs w:val="28"/>
        </w:rPr>
        <w:t>— предмет закупки/продажи с краткими качественными, количественными и стоимостными характеристиками.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Многоэтапный способ закупки</w:t>
      </w:r>
      <w:r>
        <w:rPr>
          <w:rFonts w:cs="Times New Roman" w:ascii="Times New Roman" w:hAnsi="Times New Roman"/>
          <w:sz w:val="28"/>
          <w:szCs w:val="28"/>
        </w:rPr>
        <w:t xml:space="preserve"> — способ выбора поставщика (подрядчика, исполнителя), в ходе которого Заказчик поэтапно уточняет требования к предмету и условиям исполнения договора. При этом участники закупки подают заявки на участие в очередном этапе закупки в соответствии с документацией этапа закупки. Участники, заявки которых признаются Комиссией по осуществлению закупок не соответствующими требованиям документации этапа закупки, к участию в очередном этапе закупки не допускаются.</w:t>
      </w:r>
    </w:p>
    <w:p>
      <w:pPr>
        <w:pStyle w:val="ConsPlus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Неконкурентная закупка </w:t>
      </w:r>
      <w:r>
        <w:rPr>
          <w:rFonts w:cs="Times New Roman" w:ascii="Times New Roman" w:hAnsi="Times New Roman"/>
          <w:sz w:val="28"/>
          <w:szCs w:val="28"/>
        </w:rPr>
        <w:t xml:space="preserve">— закупка, условия осуществления которой не соответствуют условиям, предусмотренным конкурентной закупкой.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Организатор закупки</w:t>
      </w:r>
      <w:r>
        <w:rPr>
          <w:rFonts w:cs="Times New Roman" w:ascii="Times New Roman" w:hAnsi="Times New Roman"/>
          <w:sz w:val="28"/>
          <w:szCs w:val="28"/>
        </w:rPr>
        <w:t xml:space="preserve"> — Заказчик или иное юридическое (или физическое лицо), которое на основании договора с Заказчиком от его имени и за его счёт выполняет, организовывает и проводит закупки.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Под оператором электронной площадки понимается 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и владеющее электронной площадкой, в том числе необходимыми для её функционирования оборудованием и программно-техническими средствами (далее — программно-аппаратные средства электронной площадки), и </w:t>
      </w:r>
      <w:r>
        <w:rPr>
          <w:rFonts w:cs="Times New Roman" w:ascii="Times New Roman" w:hAnsi="Times New Roman"/>
          <w:sz w:val="28"/>
          <w:szCs w:val="28"/>
        </w:rPr>
        <w:t>обеспечивающее проведение конкурентных закупок в электронной форме в соответствии с положениями Федерального закона №223-ФЗ.</w:t>
      </w:r>
    </w:p>
    <w:p>
      <w:pPr>
        <w:pStyle w:val="Style22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Протокол </w:t>
      </w:r>
      <w:r>
        <w:rPr>
          <w:rFonts w:cs="Times New Roman" w:ascii="Times New Roman" w:hAnsi="Times New Roman"/>
          <w:sz w:val="28"/>
          <w:szCs w:val="28"/>
        </w:rPr>
        <w:t>— документ, которым оформлено проведение закупки.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Предварительный квалификационный отбор</w:t>
      </w:r>
      <w:r>
        <w:rPr>
          <w:rFonts w:cs="Times New Roman" w:ascii="Times New Roman" w:hAnsi="Times New Roman"/>
          <w:sz w:val="28"/>
          <w:szCs w:val="28"/>
        </w:rPr>
        <w:t xml:space="preserve"> — отбор поставщиков (подрядчиков, исполнителей), допускаемых для участия в конкурентной закупке, в соответствии с требованиями и критериями, установленными Заказчиком в документации о закупке.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Приоритет РП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— установленный Заказчиком в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целях исполнения Постановления Правительства РФ от 16 сентября 2016 г. №925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при осуществлении закупок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товаров, работ, услуг путём проведения конкурса, аукциона и иных способов закупки,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за исключением прямых закупок. 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Специализированная организация — </w:t>
      </w:r>
      <w:r>
        <w:rPr>
          <w:rFonts w:cs="Times New Roman" w:ascii="Times New Roman" w:hAnsi="Times New Roman"/>
          <w:sz w:val="28"/>
          <w:szCs w:val="28"/>
        </w:rPr>
        <w:t>юридическое лицо, выполняющее отдельные функции Заказчика по организации и (или) проведению закупочной деятельности, в рамках полномочий, переданных ему Заказчиком по договору данной организации.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Товары </w:t>
      </w:r>
      <w:r>
        <w:rPr>
          <w:rFonts w:cs="Times New Roman" w:ascii="Times New Roman" w:hAnsi="Times New Roman"/>
          <w:sz w:val="28"/>
          <w:szCs w:val="28"/>
        </w:rPr>
        <w:t>— любые предметы (материальные объекты) в случае, если по условиям способа выбора поставщика происходит закупка товара или товара и сопутствующих услуг (транспортировка, монтаж, наладка и т. п.).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Участник закупки</w:t>
      </w:r>
      <w:r>
        <w:rPr>
          <w:rFonts w:cs="Times New Roman" w:ascii="Times New Roman" w:hAnsi="Times New Roman"/>
          <w:sz w:val="28"/>
          <w:szCs w:val="28"/>
        </w:rPr>
        <w:t xml:space="preserve"> —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Федеральным </w:t>
      </w:r>
      <w:hyperlink r:id="rId3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о</w:t>
      </w:r>
      <w:r>
        <w:rPr>
          <w:rFonts w:cs="Times New Roman" w:ascii="Times New Roman" w:hAnsi="Times New Roman"/>
          <w:color w:val="000000"/>
          <w:sz w:val="28"/>
          <w:szCs w:val="28"/>
        </w:rPr>
        <w:t>т 14 июля 2022 года N 255-ФЗ "О контроле за деятельностью лиц, на</w:t>
      </w:r>
      <w:r>
        <w:rPr>
          <w:rFonts w:cs="Times New Roman" w:ascii="Times New Roman" w:hAnsi="Times New Roman"/>
          <w:sz w:val="28"/>
          <w:szCs w:val="28"/>
        </w:rPr>
        <w:t xml:space="preserve">ходящихся под иностранным влиянием». </w:t>
      </w:r>
    </w:p>
    <w:p>
      <w:pPr>
        <w:pStyle w:val="Normal"/>
        <w:tabs>
          <w:tab w:val="clear" w:pos="708"/>
          <w:tab w:val="left" w:pos="720" w:leader="none"/>
          <w:tab w:val="left" w:pos="900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Электронная площадка</w:t>
      </w:r>
      <w:r>
        <w:rPr>
          <w:rFonts w:cs="Times New Roman" w:ascii="Times New Roman" w:hAnsi="Times New Roman"/>
          <w:sz w:val="28"/>
          <w:szCs w:val="28"/>
        </w:rPr>
        <w:t xml:space="preserve"> — </w:t>
      </w:r>
      <w:r>
        <w:rPr>
          <w:rFonts w:cs="Times New Roman" w:ascii="Times New Roman" w:hAnsi="Times New Roman"/>
          <w:color w:val="000000"/>
          <w:sz w:val="28"/>
          <w:szCs w:val="28"/>
        </w:rPr>
        <w:t>сайт в информационно-телекоммуникационной сети Интернет, посредством которого Заказчик проводит закупки в электронной форме.</w:t>
      </w:r>
    </w:p>
    <w:p>
      <w:pPr>
        <w:pStyle w:val="ConsPlusNormal"/>
        <w:widowControl w:val="false"/>
        <w:spacing w:lineRule="auto" w:line="36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Электронный документ</w:t>
      </w:r>
      <w:r>
        <w:rPr>
          <w:rFonts w:cs="Times New Roman" w:ascii="Times New Roman" w:hAnsi="Times New Roman"/>
          <w:sz w:val="28"/>
          <w:szCs w:val="28"/>
        </w:rPr>
        <w:t xml:space="preserve"> — документированная информация, предоставленная в электронной форме, подписанная</w:t>
      </w:r>
      <w:r>
        <w:rPr>
          <w:rFonts w:cs="Times New Roman" w:ascii="Times New Roman" w:hAnsi="Times New Roman"/>
          <w:bCs/>
          <w:sz w:val="28"/>
          <w:szCs w:val="28"/>
        </w:rPr>
        <w:t xml:space="preserve"> усиленной квалифицированной подписью лица, имеющего право действовать от имени Заказчика, участника закупки или оператора электронной площадки.</w:t>
      </w:r>
      <w:r>
        <w:rPr>
          <w:rFonts w:ascii="Times New Roman" w:hAnsi="Times New Roman"/>
          <w:sz w:val="28"/>
          <w:szCs w:val="28"/>
        </w:rPr>
        <w:t>"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Посещённая гиперссылка"/>
    <w:rPr>
      <w:color w:val="954F72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Calibri" w:cs="Arial"/>
      <w:color w:val="auto"/>
      <w:kern w:val="0"/>
      <w:sz w:val="20"/>
      <w:szCs w:val="22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ahoma" w:hAnsi="Tahoma" w:eastAsia="Calibri" w:cs="Tahoma"/>
      <w:color w:val="auto"/>
      <w:kern w:val="0"/>
      <w:sz w:val="20"/>
      <w:szCs w:val="22"/>
      <w:lang w:val="ru-RU" w:eastAsia="ru-RU" w:bidi="ar-SA"/>
    </w:rPr>
  </w:style>
  <w:style w:type="paragraph" w:styleId="Style21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  <w:lang w:val="ru-RU"/>
    </w:rPr>
  </w:style>
  <w:style w:type="paragraph" w:styleId="Style22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452913/" TargetMode="External"/><Relationship Id="rId3" Type="http://schemas.openxmlformats.org/officeDocument/2006/relationships/hyperlink" Target="https://www.consultant.ru/document/cons_doc_LAW_452913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Application>LibreOffice/7.2.2.2$Windows_X86_64 LibreOffice_project/02b2acce88a210515b4a5bb2e46cbfb63fe97d56</Application>
  <AppVersion>15.0000</AppVersion>
  <Pages>4</Pages>
  <Words>1165</Words>
  <Characters>8724</Characters>
  <CharactersWithSpaces>9898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2023-03-10T05:25:00Z</dcterms:created>
  <dc:creator>Гафуров Денис Муслимович</dc:creator>
  <dc:description/>
  <dc:language>ru-RU</dc:language>
  <cp:lastModifiedBy/>
  <cp:lastPrinted>2023-12-05T09:37:27Z</cp:lastPrinted>
  <dcterms:modified xsi:type="dcterms:W3CDTF">2023-12-05T09:37:57Z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