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26153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326153">
        <w:rPr>
          <w:rFonts w:ascii="Times New Roman" w:hAnsi="Times New Roman" w:cs="Times New Roman"/>
        </w:rPr>
        <w:t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</w:t>
      </w:r>
      <w:r w:rsidR="00792D55">
        <w:rPr>
          <w:rFonts w:ascii="Times New Roman" w:hAnsi="Times New Roman" w:cs="Times New Roman"/>
        </w:rPr>
        <w:t xml:space="preserve"> </w:t>
      </w:r>
      <w:bookmarkStart w:id="3" w:name="_Hlk2774514"/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bookmarkEnd w:id="3"/>
      <w:r>
        <w:rPr>
          <w:rFonts w:ascii="Times New Roman" w:hAnsi="Times New Roman" w:cs="Times New Roman"/>
        </w:rPr>
        <w:t>организациям, осуществляющим</w:t>
      </w:r>
      <w:r w:rsidRPr="001767BB">
        <w:rPr>
          <w:rFonts w:ascii="Times New Roman" w:hAnsi="Times New Roman" w:cs="Times New Roman"/>
        </w:rPr>
        <w:t xml:space="preserve"> оказание услуг по обращению с твердыми коммунальными отходами</w:t>
      </w:r>
      <w:r>
        <w:rPr>
          <w:rFonts w:ascii="Times New Roman" w:hAnsi="Times New Roman" w:cs="Times New Roman"/>
        </w:rPr>
        <w:t xml:space="preserve"> на территории Ростовской области (далее – организации по обращению с ТКО) заключить договор об организации на площадке </w:t>
      </w:r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>предоставления услуг</w:t>
      </w:r>
      <w:r w:rsidRPr="007C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326153">
        <w:rPr>
          <w:rFonts w:ascii="Times New Roman" w:hAnsi="Times New Roman" w:cs="Times New Roman"/>
        </w:rPr>
        <w:t xml:space="preserve">условиях, изложенных в настоящей Оферте и </w:t>
      </w:r>
      <w:r>
        <w:rPr>
          <w:rFonts w:ascii="Times New Roman" w:hAnsi="Times New Roman" w:cs="Times New Roman"/>
        </w:rPr>
        <w:t>приложениях к ней.</w:t>
      </w:r>
    </w:p>
    <w:p w:rsidR="0098665A" w:rsidRPr="00792D55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D55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 за днем размещения её на сайте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</w:r>
      <w:r w:rsidRPr="00792D5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http://www.mfc61.ru</w:t>
      </w:r>
      <w:r w:rsidR="00792D55">
        <w:rPr>
          <w:rStyle w:val="afff0"/>
          <w:rFonts w:ascii="Times New Roman" w:hAnsi="Times New Roman"/>
          <w:color w:val="auto"/>
          <w:sz w:val="24"/>
          <w:szCs w:val="24"/>
        </w:rPr>
        <w:t>,</w:t>
      </w:r>
      <w:r w:rsidRPr="00792D55">
        <w:rPr>
          <w:rFonts w:ascii="Times New Roman" w:hAnsi="Times New Roman" w:cs="Times New Roman"/>
          <w:sz w:val="24"/>
          <w:szCs w:val="24"/>
        </w:rPr>
        <w:t xml:space="preserve"> и действует по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31 декабря </w:t>
      </w:r>
      <w:r w:rsidRPr="00792D55">
        <w:rPr>
          <w:rFonts w:ascii="Times New Roman" w:hAnsi="Times New Roman" w:cs="Times New Roman"/>
          <w:sz w:val="24"/>
          <w:szCs w:val="24"/>
        </w:rPr>
        <w:t>2019 года включительно.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Pr="00792D55">
        <w:rPr>
          <w:rFonts w:ascii="Times New Roman" w:hAnsi="Times New Roman" w:cs="Times New Roman"/>
          <w:sz w:val="24"/>
          <w:szCs w:val="24"/>
        </w:rPr>
        <w:t xml:space="preserve">вправе отменить Оферту в любое время без объяснения причин. </w:t>
      </w:r>
    </w:p>
    <w:p w:rsidR="0098665A" w:rsidRPr="00B60BD8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Акцептовать Оферту (отозваться на Оферту) вправе </w:t>
      </w:r>
      <w:r w:rsidRPr="00B60BD8">
        <w:rPr>
          <w:rFonts w:ascii="Times New Roman" w:hAnsi="Times New Roman" w:cs="Times New Roman"/>
          <w:sz w:val="24"/>
          <w:szCs w:val="24"/>
        </w:rPr>
        <w:t>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792D55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88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</w:t>
      </w:r>
      <w:r w:rsidRPr="00792D55">
        <w:rPr>
          <w:rFonts w:ascii="Times New Roman" w:hAnsi="Times New Roman" w:cs="Times New Roman"/>
          <w:sz w:val="24"/>
          <w:szCs w:val="24"/>
        </w:rPr>
        <w:t>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</w:t>
      </w:r>
      <w:r w:rsidRPr="00792D55">
        <w:rPr>
          <w:rFonts w:ascii="Times New Roman" w:hAnsi="Times New Roman" w:cs="Times New Roman"/>
          <w:sz w:val="24"/>
          <w:szCs w:val="24"/>
        </w:rPr>
        <w:t>:</w:t>
      </w:r>
      <w:r w:rsidR="00792D55" w:rsidRPr="00792D55">
        <w:rPr>
          <w:rFonts w:ascii="Times New Roman" w:hAnsi="Times New Roman" w:cs="Times New Roman"/>
          <w:sz w:val="24"/>
          <w:szCs w:val="24"/>
        </w:rPr>
        <w:t>346330,</w:t>
      </w:r>
      <w:r w:rsidRPr="00792D55">
        <w:rPr>
          <w:rFonts w:ascii="Times New Roman" w:hAnsi="Times New Roman" w:cs="Times New Roman"/>
          <w:sz w:val="24"/>
          <w:szCs w:val="24"/>
        </w:rPr>
        <w:t xml:space="preserve"> </w:t>
      </w:r>
      <w:r w:rsidR="00792D55" w:rsidRPr="00792D55">
        <w:rPr>
          <w:rFonts w:ascii="Times New Roman" w:hAnsi="Times New Roman" w:cs="Times New Roman"/>
          <w:sz w:val="24"/>
          <w:szCs w:val="24"/>
        </w:rPr>
        <w:t xml:space="preserve">Ростовская область, г. Донецк, микрорайон 3, д. 19. </w:t>
      </w:r>
      <w:r w:rsidRPr="00792D55">
        <w:rPr>
          <w:rFonts w:ascii="Times New Roman" w:hAnsi="Times New Roman" w:cs="Times New Roman"/>
          <w:sz w:val="24"/>
          <w:szCs w:val="24"/>
        </w:rPr>
        <w:t>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792D55" w:rsidRDefault="00792D55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2D55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="0098665A" w:rsidRPr="00792D55">
        <w:rPr>
          <w:rFonts w:ascii="Times New Roman" w:hAnsi="Times New Roman" w:cs="Times New Roman"/>
          <w:sz w:val="24"/>
          <w:szCs w:val="24"/>
        </w:rPr>
        <w:t xml:space="preserve">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792D55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 </w:t>
      </w:r>
      <w:r w:rsidR="0098665A" w:rsidRPr="00792D55">
        <w:rPr>
          <w:rFonts w:ascii="Times New Roman" w:hAnsi="Times New Roman" w:cs="Times New Roman"/>
          <w:sz w:val="24"/>
          <w:szCs w:val="24"/>
        </w:rPr>
        <w:t xml:space="preserve">обязан разместить на сайте в информационно–телекоммуникационной сети Интернет по адресу: </w:t>
      </w:r>
      <w:r w:rsidR="000B78B8" w:rsidRPr="00792D55">
        <w:rPr>
          <w:rFonts w:ascii="Times New Roman" w:hAnsi="Times New Roman" w:cs="Times New Roman"/>
          <w:sz w:val="24"/>
          <w:szCs w:val="24"/>
        </w:rPr>
        <w:t xml:space="preserve">http://www.mfc61.ru </w:t>
      </w:r>
      <w:r w:rsidR="0098665A" w:rsidRPr="00792D55">
        <w:rPr>
          <w:rFonts w:ascii="Times New Roman" w:hAnsi="Times New Roman" w:cs="Times New Roman"/>
          <w:sz w:val="24"/>
          <w:szCs w:val="24"/>
        </w:rPr>
        <w:t>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0B78B8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B78B8">
              <w:rPr>
                <w:rFonts w:ascii="Times New Roman" w:hAnsi="Times New Roman" w:cs="Times New Roman"/>
                <w:b/>
              </w:rPr>
              <w:t>к публичной оферте о заключении договора об организации предоставления на площадке</w:t>
            </w:r>
            <w:r w:rsidR="000B78B8" w:rsidRPr="000B78B8">
              <w:rPr>
                <w:rFonts w:ascii="Times New Roman" w:hAnsi="Times New Roman" w:cs="Times New Roman"/>
                <w:b/>
              </w:rPr>
              <w:t xml:space="preserve">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      </w:r>
            <w:r w:rsidRPr="000B78B8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792D55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 w:rsidRPr="00BA6C58">
        <w:rPr>
          <w:rFonts w:ascii="Times New Roman" w:hAnsi="Times New Roman" w:cs="Times New Roman"/>
        </w:rPr>
        <w:t>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0B78B8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 xml:space="preserve">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CE5BF7">
        <w:rPr>
          <w:rFonts w:ascii="Times New Roman" w:hAnsi="Times New Roman" w:cs="Times New Roman"/>
        </w:rPr>
        <w:t xml:space="preserve">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</w:r>
      <w:r>
        <w:rPr>
          <w:rFonts w:ascii="Times New Roman" w:hAnsi="Times New Roman" w:cs="Times New Roman"/>
        </w:rPr>
        <w:t>в информационно-</w:t>
      </w:r>
      <w:r w:rsidRPr="00326153">
        <w:rPr>
          <w:rFonts w:ascii="Times New Roman" w:hAnsi="Times New Roman" w:cs="Times New Roman"/>
        </w:rPr>
        <w:t>телекоммуникационной сети Интернет по адресу</w:t>
      </w:r>
      <w:r w:rsidR="00CE5BF7">
        <w:rPr>
          <w:rFonts w:ascii="Times New Roman" w:hAnsi="Times New Roman" w:cs="Times New Roman"/>
        </w:rPr>
        <w:t xml:space="preserve">: </w:t>
      </w:r>
      <w:r w:rsidR="00CE5BF7" w:rsidRPr="00792D55">
        <w:rPr>
          <w:rFonts w:ascii="Times New Roman" w:hAnsi="Times New Roman" w:cs="Times New Roman"/>
        </w:rPr>
        <w:t>http://www.mfc61.ru</w:t>
      </w:r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792D55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</w:t>
            </w:r>
            <w:r w:rsidRPr="00CE5BF7">
              <w:rPr>
                <w:rFonts w:ascii="Times New Roman" w:hAnsi="Times New Roman" w:cs="Times New Roman"/>
                <w:b/>
              </w:rPr>
              <w:t xml:space="preserve">предоставления на </w:t>
            </w:r>
            <w:r w:rsidR="00CE5BF7" w:rsidRPr="00CE5BF7">
              <w:rPr>
                <w:rFonts w:ascii="Times New Roman" w:hAnsi="Times New Roman" w:cs="Times New Roman"/>
                <w:b/>
              </w:rPr>
              <w:t xml:space="preserve">площадке муниципального бюджетного учреждения «Многофункциональный центр предоставления государственных и муниципальных услуг муниципального образования «Город Донецк» </w:t>
            </w:r>
            <w:r w:rsidRPr="00CE5BF7">
              <w:rPr>
                <w:rFonts w:ascii="Times New Roman" w:hAnsi="Times New Roman" w:cs="Times New Roman"/>
                <w:b/>
              </w:rPr>
              <w:t>услуг по обращению с твердыми коммунальными отходами</w:t>
            </w:r>
          </w:p>
        </w:tc>
      </w:tr>
    </w:tbl>
    <w:p w:rsidR="00CE5BF7" w:rsidRDefault="00CE5B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proofErr w:type="gramStart"/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</w:t>
      </w:r>
      <w:proofErr w:type="gramEnd"/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2C1760" w:rsidRPr="00F74E07">
        <w:rPr>
          <w:rFonts w:ascii="Times New Roman" w:hAnsi="Times New Roman"/>
        </w:rPr>
        <w:t>________________________________________________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6C5CF9" w:rsidRPr="00F74E07">
        <w:rPr>
          <w:rFonts w:ascii="Times New Roman" w:hAnsi="Times New Roman"/>
        </w:rPr>
        <w:t xml:space="preserve">в лице </w:t>
      </w:r>
      <w:r w:rsidR="002C1760" w:rsidRPr="00F74E07">
        <w:rPr>
          <w:rFonts w:ascii="Times New Roman" w:hAnsi="Times New Roman"/>
        </w:rPr>
        <w:t>___________________________________________</w:t>
      </w:r>
      <w:r w:rsidR="006C5CF9" w:rsidRPr="00F74E07">
        <w:rPr>
          <w:rFonts w:ascii="Times New Roman" w:hAnsi="Times New Roman"/>
        </w:rPr>
        <w:t>, действующего на основании</w:t>
      </w:r>
      <w:r w:rsidR="00276864" w:rsidRPr="00F74E07">
        <w:rPr>
          <w:rFonts w:ascii="Times New Roman" w:hAnsi="Times New Roman"/>
        </w:rPr>
        <w:t xml:space="preserve"> _______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4" w:name="OLE_LINK63"/>
      <w:r>
        <w:rPr>
          <w:rFonts w:ascii="Times New Roman" w:hAnsi="Times New Roman"/>
        </w:rPr>
        <w:t>3.2.</w:t>
      </w:r>
      <w:bookmarkEnd w:id="4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не</w:t>
      </w:r>
      <w:r w:rsidR="001822E0">
        <w:rPr>
          <w:rFonts w:ascii="Times New Roman" w:hAnsi="Times New Roman" w:cs="Times New Roman"/>
        </w:rPr>
        <w:t>подписания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F72EC6" w:rsidRPr="004432F0" w:rsidRDefault="00F72EC6" w:rsidP="00F72EC6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6.6. В случае отсутствия на стороне Общества возможности осуществлять прием документов в электронном виде в соответствии</w:t>
      </w:r>
      <w:r w:rsidRPr="00660FE4">
        <w:rPr>
          <w:rFonts w:ascii="Times New Roman" w:hAnsi="Times New Roman"/>
        </w:rPr>
        <w:t xml:space="preserve"> </w:t>
      </w:r>
      <w:r w:rsidRPr="004432F0">
        <w:rPr>
          <w:rFonts w:ascii="Times New Roman" w:hAnsi="Times New Roman"/>
        </w:rPr>
        <w:t>с Приложением № 3 к настоящему Соглашению</w:t>
      </w:r>
      <w:r>
        <w:rPr>
          <w:rFonts w:ascii="Times New Roman" w:hAnsi="Times New Roman"/>
        </w:rPr>
        <w:t xml:space="preserve">, передача осуществляется только в бумажном виде курьером Общества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по сопроводительному реестру по форме согласно Приложению № 6 к Договору</w:t>
      </w:r>
      <w:r>
        <w:rPr>
          <w:rFonts w:ascii="Times New Roman" w:hAnsi="Times New Roman"/>
        </w:rPr>
        <w:t>. При наличии принятых документов работник МФЦ (ТОСП) в течение рабочего дня информирует Общество по адресу электронной почты ____________. Курьер Общества забирает пакет документов из того офиса МФЦ или ТОСП, в котором данный пакет документов был принят.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72EC6" w:rsidRDefault="00F72EC6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F72EC6" w:rsidRDefault="00F72EC6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Default="001822E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F72EC6" w:rsidRPr="00F74E07" w:rsidRDefault="00F72EC6">
      <w:pPr>
        <w:ind w:firstLine="709"/>
        <w:jc w:val="both"/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F72EC6" w:rsidRPr="00F74E07" w:rsidRDefault="00F72EC6">
      <w:pPr>
        <w:ind w:firstLine="709"/>
        <w:jc w:val="both"/>
        <w:rPr>
          <w:rFonts w:ascii="Times New Roman" w:hAnsi="Times New Roman"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lastRenderedPageBreak/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72EC6" w:rsidRDefault="00F72EC6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F72EC6" w:rsidRPr="00F74E07" w:rsidRDefault="00F72EC6" w:rsidP="00144D8C">
      <w:pPr>
        <w:ind w:firstLine="709"/>
        <w:jc w:val="both"/>
        <w:rPr>
          <w:rFonts w:ascii="Times New Roman" w:hAnsi="Times New Roman"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510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pPr w:leftFromText="180" w:rightFromText="180" w:vertAnchor="text" w:horzAnchor="margin" w:tblpY="94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96"/>
        <w:gridCol w:w="5068"/>
        <w:gridCol w:w="242"/>
      </w:tblGrid>
      <w:tr w:rsidR="00CE5BF7" w:rsidRPr="00F74E07" w:rsidTr="00CE5BF7">
        <w:trPr>
          <w:trHeight w:val="5524"/>
        </w:trPr>
        <w:tc>
          <w:tcPr>
            <w:tcW w:w="489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lastRenderedPageBreak/>
              <w:t>Заказчик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CE5BF7" w:rsidRPr="00F74E07" w:rsidRDefault="00CE5BF7" w:rsidP="00CE5BF7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068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Юридический адрес: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______________ / КПП 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КБК__________________________________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</w:t>
            </w:r>
          </w:p>
          <w:p w:rsidR="00CE5BF7" w:rsidRPr="00F74E07" w:rsidRDefault="00CE5BF7" w:rsidP="00CE5BF7">
            <w:pPr>
              <w:spacing w:line="240" w:lineRule="auto"/>
              <w:ind w:left="324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____________________/____________ /</w:t>
            </w:r>
          </w:p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CE5BF7" w:rsidRPr="00F74E07" w:rsidRDefault="00CE5BF7" w:rsidP="00CE5BF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8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745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между ______________________ и _____________________</w:t>
                  </w:r>
                </w:p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получить необходимую 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отчетным 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Печать заявки на бумажном носителе, консультация Заявителя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возможном приостановлении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lastRenderedPageBreak/>
              <w:t>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следующего за отчетным 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одтверждающая начало и окончание периода, в течение которого жилое помещение находилось под непрерывной охраной и </w:t>
            </w:r>
            <w:proofErr w:type="gramStart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пользование</w:t>
            </w:r>
            <w:proofErr w:type="gramEnd"/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правка, подтверждающая период временного пребывания гражданина по месту нахождения учебного заведения, детского дома, школы-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садоводства или огородничества 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Копия </w:t>
            </w:r>
            <w:proofErr w:type="gramStart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страницы</w:t>
            </w:r>
            <w:proofErr w:type="gramEnd"/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8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6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7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 xml:space="preserve">Паспортные данные </w:t>
            </w:r>
            <w:proofErr w:type="gramStart"/>
            <w:r>
              <w:rPr>
                <w:rFonts w:ascii="TimesNewRomanPSMT" w:hAnsi="TimesNewRomanPSMT" w:cs="TimesNewRomanPSMT"/>
                <w:color w:val="000000"/>
              </w:rPr>
              <w:t>ИП  Серия</w:t>
            </w:r>
            <w:proofErr w:type="gramEnd"/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1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 xml:space="preserve">по </w:t>
      </w:r>
      <w:proofErr w:type="gramStart"/>
      <w:r w:rsidRPr="00DA2541">
        <w:rPr>
          <w:rFonts w:ascii="Times New Roman" w:hAnsi="Times New Roman" w:cs="Times New Roman"/>
          <w:sz w:val="22"/>
          <w:szCs w:val="22"/>
        </w:rPr>
        <w:t>адресу:_</w:t>
      </w:r>
      <w:proofErr w:type="gramEnd"/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proofErr w:type="gramStart"/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(</w:t>
      </w:r>
      <w:proofErr w:type="gramEnd"/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лицевой счет/</w:t>
      </w:r>
      <w:proofErr w:type="gramStart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письменный</w:t>
      </w:r>
      <w:proofErr w:type="gramEnd"/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</w:t>
      </w:r>
      <w:proofErr w:type="gramEnd"/>
      <w:r w:rsidRPr="00C04DD9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 w:rsidR="006A1629"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proofErr w:type="gramStart"/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proofErr w:type="gramEnd"/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C04DD9">
        <w:rPr>
          <w:rFonts w:ascii="Times New Roman" w:hAnsi="Times New Roman" w:cs="Times New Roman"/>
          <w:sz w:val="18"/>
          <w:szCs w:val="18"/>
        </w:rPr>
        <w:t>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 xml:space="preserve">(Подпись заявителя или лица по </w:t>
      </w:r>
      <w:proofErr w:type="gramStart"/>
      <w:r w:rsidRPr="00285354">
        <w:rPr>
          <w:rFonts w:ascii="Times New Roman" w:hAnsi="Times New Roman" w:cs="Times New Roman"/>
          <w:i/>
          <w:sz w:val="20"/>
          <w:szCs w:val="20"/>
        </w:rPr>
        <w:t>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</w:t>
      </w:r>
      <w:proofErr w:type="gramEnd"/>
      <w:r w:rsidRPr="00285354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5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 xml:space="preserve"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</w:t>
      </w:r>
      <w:proofErr w:type="gramStart"/>
      <w:r w:rsidRPr="00AD354E">
        <w:rPr>
          <w:rFonts w:ascii="Times New Roman" w:eastAsia="Times New Roman" w:hAnsi="Times New Roman" w:cs="Times New Roman"/>
        </w:rPr>
        <w:t>с такой информацией</w:t>
      </w:r>
      <w:proofErr w:type="gramEnd"/>
      <w:r w:rsidRPr="00AD354E">
        <w:rPr>
          <w:rFonts w:ascii="Times New Roman" w:eastAsia="Times New Roman" w:hAnsi="Times New Roman" w:cs="Times New Roman"/>
        </w:rPr>
        <w:t xml:space="preserve">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5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УЦ должны быть аккредитованы Минкомсвязью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0"/>
        <w:gridCol w:w="1236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3"/>
        <w:gridCol w:w="1213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3"/>
        <w:gridCol w:w="1213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AD354E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AD354E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AD354E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A02AF6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247AC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highlight w:val="yellow"/>
                <w:lang w:bidi="en-US"/>
              </w:rPr>
            </w:pPr>
            <w:r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МУ «МФЦ»</w:t>
            </w:r>
            <w:r w:rsidR="00155B8D"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bookmarkStart w:id="6" w:name="_GoBack"/>
            <w:bookmarkEnd w:id="6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155B8D" w:rsidRDefault="00A02AF6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highlight w:val="yellow"/>
                <w:lang w:bidi="en-US"/>
              </w:rPr>
            </w:pPr>
            <w:r w:rsidRPr="00A02AF6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417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759"/>
        <w:gridCol w:w="1020"/>
        <w:gridCol w:w="4643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08"/>
        <w:gridCol w:w="1625"/>
        <w:gridCol w:w="2455"/>
        <w:gridCol w:w="4754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333"/>
        <w:gridCol w:w="587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9D6E8C" w:rsidRPr="00AD354E" w:rsidRDefault="00260AEF">
      <w:pPr>
        <w:jc w:val="center"/>
        <w:rPr>
          <w:b/>
        </w:rPr>
      </w:pPr>
      <w:r w:rsidRPr="00AD354E"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9D6E8C" w:rsidRPr="00F74E07" w:rsidRDefault="009D6E8C">
      <w:pPr>
        <w:jc w:val="center"/>
      </w:pPr>
    </w:p>
    <w:tbl>
      <w:tblPr>
        <w:tblW w:w="0" w:type="auto"/>
        <w:tblInd w:w="-64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671"/>
        <w:gridCol w:w="7970"/>
        <w:gridCol w:w="1619"/>
      </w:tblGrid>
      <w:tr w:rsidR="009D6E8C" w:rsidRPr="00F74E0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Цена, руб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 xml:space="preserve">Консультация 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Прием документов для оформления заявки, обработка бэк-офисом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pStyle w:val="3"/>
              <w:numPr>
                <w:ilvl w:val="2"/>
                <w:numId w:val="1"/>
              </w:numP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57723" w:rsidP="006577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НДС 20</w:t>
            </w:r>
            <w:r w:rsidR="006C5CF9" w:rsidRPr="00F74E07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>
            <w:pPr>
              <w:pStyle w:val="3"/>
              <w:numPr>
                <w:ilvl w:val="2"/>
                <w:numId w:val="1"/>
              </w:numPr>
              <w:jc w:val="left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F74E0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9D6E8C" w:rsidRPr="00F74E07">
        <w:tc>
          <w:tcPr>
            <w:tcW w:w="67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>
            <w:pPr>
              <w:jc w:val="center"/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6C5CF9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74E07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9D6E8C" w:rsidRPr="00F74E07" w:rsidRDefault="009D6E8C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294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 w:rsidRPr="00F74E07"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 w:rsidRPr="00F74E07">
              <w:rPr>
                <w:rFonts w:ascii="Times New Roman" w:hAnsi="Times New Roman" w:cs="Times New Roman"/>
              </w:rPr>
              <w:t xml:space="preserve">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должность)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Специалист по обработке документов </w:t>
      </w:r>
      <w:proofErr w:type="gramStart"/>
      <w:r w:rsidRPr="003522EC">
        <w:rPr>
          <w:rFonts w:ascii="Times New Roman" w:hAnsi="Times New Roman"/>
          <w:sz w:val="16"/>
          <w:szCs w:val="16"/>
        </w:rPr>
        <w:t>МФЦ</w:t>
      </w:r>
      <w:r w:rsidRPr="003522EC">
        <w:rPr>
          <w:rFonts w:ascii="Times New Roman" w:hAnsi="Times New Roman"/>
          <w:sz w:val="20"/>
          <w:szCs w:val="20"/>
        </w:rPr>
        <w:t xml:space="preserve">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</w:t>
      </w:r>
      <w:proofErr w:type="gramStart"/>
      <w:r w:rsidRPr="003522EC">
        <w:rPr>
          <w:rFonts w:ascii="Times New Roman" w:hAnsi="Times New Roman"/>
          <w:sz w:val="20"/>
          <w:szCs w:val="20"/>
        </w:rPr>
        <w:t>_  _</w:t>
      </w:r>
      <w:proofErr w:type="gramEnd"/>
      <w:r w:rsidRPr="003522EC">
        <w:rPr>
          <w:rFonts w:ascii="Times New Roman" w:hAnsi="Times New Roman"/>
          <w:sz w:val="20"/>
          <w:szCs w:val="20"/>
        </w:rPr>
        <w:t>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7AC" w:rsidRDefault="00A247AC">
      <w:pPr>
        <w:spacing w:line="240" w:lineRule="auto"/>
      </w:pPr>
      <w:r>
        <w:separator/>
      </w:r>
    </w:p>
  </w:endnote>
  <w:endnote w:type="continuationSeparator" w:id="0">
    <w:p w:rsidR="00A247AC" w:rsidRDefault="00A247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Arial Unicode MS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7AC" w:rsidRDefault="00A247AC">
      <w:r>
        <w:separator/>
      </w:r>
    </w:p>
  </w:footnote>
  <w:footnote w:type="continuationSeparator" w:id="0">
    <w:p w:rsidR="00A247AC" w:rsidRDefault="00A2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47AC" w:rsidRDefault="00A247AC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9</w:t>
    </w:r>
    <w:r>
      <w:fldChar w:fldCharType="end"/>
    </w:r>
  </w:p>
  <w:p w:rsidR="00A247AC" w:rsidRDefault="00A247AC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 w15:restartNumberingAfterBreak="0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6" w15:restartNumberingAfterBreak="0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18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26"/>
  </w:num>
  <w:num w:numId="11">
    <w:abstractNumId w:val="8"/>
  </w:num>
  <w:num w:numId="12">
    <w:abstractNumId w:val="21"/>
  </w:num>
  <w:num w:numId="13">
    <w:abstractNumId w:val="23"/>
  </w:num>
  <w:num w:numId="14">
    <w:abstractNumId w:val="19"/>
  </w:num>
  <w:num w:numId="15">
    <w:abstractNumId w:val="29"/>
  </w:num>
  <w:num w:numId="16">
    <w:abstractNumId w:val="27"/>
  </w:num>
  <w:num w:numId="17">
    <w:abstractNumId w:val="16"/>
  </w:num>
  <w:num w:numId="18">
    <w:abstractNumId w:val="9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2"/>
  </w:num>
  <w:num w:numId="24">
    <w:abstractNumId w:val="13"/>
  </w:num>
  <w:num w:numId="25">
    <w:abstractNumId w:val="28"/>
  </w:num>
  <w:num w:numId="26">
    <w:abstractNumId w:val="24"/>
  </w:num>
  <w:num w:numId="27">
    <w:abstractNumId w:val="15"/>
  </w:num>
  <w:num w:numId="28">
    <w:abstractNumId w:val="5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E8C"/>
    <w:rsid w:val="00001BA0"/>
    <w:rsid w:val="00050B00"/>
    <w:rsid w:val="00072A78"/>
    <w:rsid w:val="0008032E"/>
    <w:rsid w:val="00097E8E"/>
    <w:rsid w:val="000A2396"/>
    <w:rsid w:val="000B1C31"/>
    <w:rsid w:val="000B78B8"/>
    <w:rsid w:val="000F4DA2"/>
    <w:rsid w:val="00134D0C"/>
    <w:rsid w:val="00136987"/>
    <w:rsid w:val="0014242E"/>
    <w:rsid w:val="00144D8C"/>
    <w:rsid w:val="00155B8D"/>
    <w:rsid w:val="00156B73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3817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2D55"/>
    <w:rsid w:val="00795F25"/>
    <w:rsid w:val="007C1DA8"/>
    <w:rsid w:val="007C5F9E"/>
    <w:rsid w:val="007C6823"/>
    <w:rsid w:val="007D0643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E4445"/>
    <w:rsid w:val="008F51FA"/>
    <w:rsid w:val="009207A8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02AF6"/>
    <w:rsid w:val="00A132AD"/>
    <w:rsid w:val="00A247AC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1DE5"/>
    <w:rsid w:val="00C57B60"/>
    <w:rsid w:val="00C74F11"/>
    <w:rsid w:val="00CC1B0E"/>
    <w:rsid w:val="00CE5BF7"/>
    <w:rsid w:val="00D12AEC"/>
    <w:rsid w:val="00D17440"/>
    <w:rsid w:val="00D17D83"/>
    <w:rsid w:val="00D24D04"/>
    <w:rsid w:val="00D27054"/>
    <w:rsid w:val="00D32215"/>
    <w:rsid w:val="00D35979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53EB"/>
    <w:rsid w:val="00DD216F"/>
    <w:rsid w:val="00E028B1"/>
    <w:rsid w:val="00E25C3F"/>
    <w:rsid w:val="00E26DB6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2EC6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5735C0"/>
  <w15:docId w15:val="{55055A3F-6FB1-4D66-A048-3902C5CD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6700-E866-4171-9524-ADCCBAE93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60</Pages>
  <Words>13542</Words>
  <Characters>77193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90554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Лясковец Оксана Николаевна</dc:creator>
  <cp:keywords/>
  <dc:description/>
  <cp:lastModifiedBy>operator-2-7</cp:lastModifiedBy>
  <cp:revision>4</cp:revision>
  <cp:lastPrinted>2019-02-21T08:41:00Z</cp:lastPrinted>
  <dcterms:created xsi:type="dcterms:W3CDTF">2019-03-06T11:33:00Z</dcterms:created>
  <dcterms:modified xsi:type="dcterms:W3CDTF">2019-03-11T13:10:00Z</dcterms:modified>
</cp:coreProperties>
</file>