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0B56B8" w:rsidP="00215830">
      <w:pPr>
        <w:ind w:left="-142"/>
        <w:rPr>
          <w:lang w:val="en-US"/>
        </w:rPr>
      </w:pPr>
      <w:r w:rsidRPr="000B56B8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6pt;margin-top:87.9pt;width:448.8pt;height:680.85pt;z-index:251660288;mso-width-relative:margin;mso-height-relative:margin" stroked="f">
            <v:textbox style="mso-next-textbox:#_x0000_s1026">
              <w:txbxContent>
                <w:p w:rsidR="004B1B0A" w:rsidRPr="004B1B0A" w:rsidRDefault="004B1B0A" w:rsidP="004B1B0A">
                  <w:pPr>
                    <w:pStyle w:val="1"/>
                    <w:jc w:val="center"/>
                    <w:rPr>
                      <w:sz w:val="25"/>
                      <w:szCs w:val="25"/>
                    </w:rPr>
                  </w:pPr>
                  <w:r w:rsidRPr="00B81F37">
                    <w:rPr>
                      <w:rStyle w:val="12"/>
                    </w:rPr>
                    <w:t xml:space="preserve">Информация о порядке возмещения </w:t>
                  </w:r>
                  <w:r w:rsidR="00D959C0">
                    <w:rPr>
                      <w:rStyle w:val="12"/>
                    </w:rPr>
                    <w:t xml:space="preserve">вреда, </w:t>
                  </w:r>
                  <w:r w:rsidR="00D959C0" w:rsidRPr="00B81F37">
                    <w:rPr>
                      <w:rStyle w:val="12"/>
                    </w:rPr>
                    <w:t xml:space="preserve">причиненного заявителю </w:t>
                  </w:r>
                  <w:r w:rsidRPr="00B81F37">
                    <w:rPr>
                      <w:rStyle w:val="12"/>
                    </w:rPr>
                    <w:t>в результате неисполнения</w:t>
                  </w:r>
                  <w:r w:rsidR="001A3520">
                    <w:rPr>
                      <w:rStyle w:val="12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>обязанностей</w:t>
                  </w:r>
                  <w:r w:rsidR="001A3520">
                    <w:rPr>
                      <w:sz w:val="25"/>
                      <w:szCs w:val="25"/>
                    </w:rPr>
                    <w:t xml:space="preserve"> </w:t>
                  </w:r>
                  <w:r w:rsidR="00D959C0">
                    <w:rPr>
                      <w:sz w:val="25"/>
                      <w:szCs w:val="25"/>
                    </w:rPr>
                    <w:t xml:space="preserve">МФЦ 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522BC2" w:rsidRP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часть 6 статьи 16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Федерального закона от 27 июля 2010 г. № 210-ФЗ «Об организации предоставления государственных и муниципальных услуг»)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обязанность возмещения вреда может быть возложена на лицо, не являющееся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Законом или договором может быть установлена обязанность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причинителем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вреда, выплатить потерпевшим компенсацию сверх возмещения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Вред, причиненный правомерными действиями, подлежит возмещению в случаях, предусмотренных законом.</w:t>
                  </w:r>
                </w:p>
                <w:p w:rsidR="004B1B0A" w:rsidRPr="004B1B0A" w:rsidRDefault="004B1B0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В возмещении вреда может быть отказано, если вред причинен по просьбе или с согласия потерпевшего, а действия </w:t>
                  </w:r>
                  <w:proofErr w:type="spellStart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>причинителя</w:t>
                  </w:r>
                  <w:proofErr w:type="spellEnd"/>
                  <w:r w:rsidRPr="004B1B0A"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  <w:t xml:space="preserve"> вреда не нарушают нравственные принципы общества.</w:t>
                  </w: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sz w:val="25"/>
                      <w:szCs w:val="25"/>
                    </w:rPr>
                  </w:pPr>
                </w:p>
                <w:p w:rsidR="004B1B0A" w:rsidRP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522BC2" w:rsidRPr="00522BC2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статья 1064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Гражданского кодекса Российской Федерации от 30 ноября 1994 г. № 51-ФЗ)</w:t>
                  </w:r>
                </w:p>
                <w:p w:rsidR="004B1B0A" w:rsidRPr="004B1B0A" w:rsidRDefault="004B1B0A" w:rsidP="004B1B0A">
                  <w:pPr>
                    <w:rPr>
                      <w:rFonts w:cs="Arial"/>
                      <w:sz w:val="25"/>
                      <w:szCs w:val="25"/>
                    </w:rPr>
                  </w:pPr>
                </w:p>
                <w:p w:rsidR="005B6900" w:rsidRPr="004B1B0A" w:rsidRDefault="005B6900">
                  <w:pPr>
                    <w:rPr>
                      <w:sz w:val="25"/>
                      <w:szCs w:val="25"/>
                    </w:rPr>
                  </w:pPr>
                </w:p>
              </w:txbxContent>
            </v:textbox>
          </v:shape>
        </w:pic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B56B8"/>
    <w:rsid w:val="000C786B"/>
    <w:rsid w:val="000D2BE1"/>
    <w:rsid w:val="000D4393"/>
    <w:rsid w:val="000D614A"/>
    <w:rsid w:val="000E12F5"/>
    <w:rsid w:val="0011727A"/>
    <w:rsid w:val="001404EB"/>
    <w:rsid w:val="00165405"/>
    <w:rsid w:val="001706E9"/>
    <w:rsid w:val="00171380"/>
    <w:rsid w:val="00172977"/>
    <w:rsid w:val="0018078F"/>
    <w:rsid w:val="00184AB2"/>
    <w:rsid w:val="001958CD"/>
    <w:rsid w:val="001A3520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830"/>
    <w:rsid w:val="00216824"/>
    <w:rsid w:val="002277F2"/>
    <w:rsid w:val="002372DF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67D7"/>
    <w:rsid w:val="003A70E4"/>
    <w:rsid w:val="003A7E52"/>
    <w:rsid w:val="003D1650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D09DA"/>
    <w:rsid w:val="00507E6A"/>
    <w:rsid w:val="00510AD8"/>
    <w:rsid w:val="00511109"/>
    <w:rsid w:val="005160DA"/>
    <w:rsid w:val="005229FE"/>
    <w:rsid w:val="00522BC2"/>
    <w:rsid w:val="00582687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7183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D2B0C"/>
    <w:rsid w:val="009D5E26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EB1"/>
    <w:rsid w:val="00D873BF"/>
    <w:rsid w:val="00D931B5"/>
    <w:rsid w:val="00D959C0"/>
    <w:rsid w:val="00D964AF"/>
    <w:rsid w:val="00DA042B"/>
    <w:rsid w:val="00DA47C3"/>
    <w:rsid w:val="00DC3987"/>
    <w:rsid w:val="00DD59BB"/>
    <w:rsid w:val="00DE133C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64BD0"/>
    <w:rsid w:val="00E70502"/>
    <w:rsid w:val="00E70D48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448D3"/>
    <w:rsid w:val="00F51EE1"/>
    <w:rsid w:val="00F76D47"/>
    <w:rsid w:val="00F776A2"/>
    <w:rsid w:val="00F95851"/>
    <w:rsid w:val="00FC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operator15</cp:lastModifiedBy>
  <cp:revision>13</cp:revision>
  <cp:lastPrinted>2015-11-16T08:24:00Z</cp:lastPrinted>
  <dcterms:created xsi:type="dcterms:W3CDTF">2014-09-03T13:40:00Z</dcterms:created>
  <dcterms:modified xsi:type="dcterms:W3CDTF">2015-12-17T08:37:00Z</dcterms:modified>
</cp:coreProperties>
</file>