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42" w:hanging="0"/>
        <w:jc w:val="center"/>
        <w:rPr/>
      </w:pPr>
      <w:r>
        <w:rPr>
          <w:rFonts w:cs="Arial" w:ascii="Arial" w:hAnsi="Arial"/>
          <w:color w:val="993300"/>
          <w:sz w:val="32"/>
          <w:szCs w:val="32"/>
        </w:rPr>
        <w:t>Перечень государственных и муниципальных услуг, предоставляемых</w:t>
      </w:r>
    </w:p>
    <w:p>
      <w:pPr>
        <w:pStyle w:val="Normal"/>
        <w:ind w:left="-142" w:hanging="0"/>
        <w:jc w:val="center"/>
        <w:rPr/>
      </w:pPr>
      <w:r>
        <w:rPr>
          <w:rFonts w:cs="Arial" w:ascii="Arial" w:hAnsi="Arial"/>
          <w:color w:val="993300"/>
          <w:sz w:val="32"/>
          <w:szCs w:val="32"/>
        </w:rPr>
        <w:t xml:space="preserve"> </w:t>
      </w:r>
      <w:r>
        <w:rPr>
          <w:rFonts w:cs="Arial" w:ascii="Arial" w:hAnsi="Arial"/>
          <w:color w:val="993300"/>
          <w:sz w:val="32"/>
          <w:szCs w:val="32"/>
        </w:rPr>
        <w:t>в МФЦ Целинского района (на 20.06.2023г.)</w:t>
      </w:r>
    </w:p>
    <w:tbl>
      <w:tblPr>
        <w:tblW w:w="10710" w:type="dxa"/>
        <w:jc w:val="left"/>
        <w:tblInd w:w="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5"/>
        <w:gridCol w:w="2322"/>
        <w:gridCol w:w="3903"/>
      </w:tblGrid>
      <w:tr>
        <w:trPr>
          <w:tblHeader w:val="true"/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>
        <w:trPr>
          <w:tblHeader w:val="true"/>
          <w:trHeight w:val="315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  <w:t>Федеральные</w:t>
            </w:r>
          </w:p>
        </w:tc>
      </w:tr>
      <w:tr>
        <w:trPr>
          <w:trHeight w:val="574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  <w:t>ФНС</w:t>
            </w:r>
          </w:p>
        </w:tc>
      </w:tr>
      <w:tr>
        <w:trPr>
          <w:trHeight w:val="3405" w:hRule="atLeast"/>
        </w:trPr>
        <w:tc>
          <w:tcPr>
            <w:tcW w:w="4485" w:type="dxa"/>
            <w:tcBorders/>
            <w:shd w:fill="FFDBB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322" w:type="dxa"/>
            <w:tcBorders/>
            <w:shd w:fill="FFDBB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345" w:leader="none"/>
              </w:tabs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623B2A"/>
                <w:sz w:val="20"/>
                <w:szCs w:val="20"/>
              </w:rPr>
              <w:t>передача документов из МФЦ в орган - 3 рабочих дня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623B2A"/>
                <w:sz w:val="20"/>
                <w:szCs w:val="20"/>
              </w:rPr>
              <w:t>2) решение органа: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0"/>
                <w:szCs w:val="20"/>
              </w:rPr>
              <w:t>- 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0"/>
                <w:szCs w:val="20"/>
              </w:rPr>
              <w:t>- внесение записи о начале процедуры реорганизации юридического лица (юридических лиц) – 3 рабочих дня;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0"/>
                <w:szCs w:val="20"/>
              </w:rPr>
              <w:t>- решения об отказе – 5 рабочих дней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20"/>
                <w:tab w:val="left" w:pos="165" w:leader="none"/>
              </w:tabs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0"/>
                <w:szCs w:val="20"/>
              </w:rPr>
              <w:t>- передача результатов из органа в МФЦ – 1 рабочий день</w:t>
            </w:r>
          </w:p>
        </w:tc>
      </w:tr>
      <w:tr>
        <w:trPr>
          <w:trHeight w:val="1098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>
        <w:trPr>
          <w:trHeight w:val="2069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сведений –бесплатно;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запрос об ИНН и коде причины постановки на учет – плата 100 руб.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>
        <w:trPr>
          <w:trHeight w:val="208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>
        <w:trPr>
          <w:trHeight w:val="5386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>
        <w:trPr>
          <w:trHeight w:val="379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>
        <w:trPr>
          <w:trHeight w:val="1128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449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50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пошлина от 100 до 60000 рублей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0" w:leader="none"/>
              </w:tabs>
              <w:spacing w:lineRule="auto" w:line="240" w:before="0" w:after="0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310" w:leader="none"/>
              </w:tabs>
              <w:spacing w:lineRule="auto" w:line="240" w:before="0" w:after="0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0" w:leader="none"/>
              </w:tabs>
              <w:spacing w:lineRule="auto" w:line="240" w:before="0" w:after="0"/>
              <w:ind w:left="10" w:hanging="1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>
        <w:trPr>
          <w:trHeight w:val="1360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>
        <w:trPr>
          <w:trHeight w:val="1648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447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Росимущество</w:t>
            </w:r>
          </w:p>
        </w:tc>
      </w:tr>
      <w:tr>
        <w:trPr>
          <w:trHeight w:val="1758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46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>
        <w:trPr>
          <w:trHeight w:val="960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>
        <w:trPr>
          <w:trHeight w:val="368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Роспотребнадзор, Роспотребнадзор ЖД</w:t>
            </w:r>
          </w:p>
        </w:tc>
      </w:tr>
      <w:tr>
        <w:trPr>
          <w:trHeight w:val="3427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>
        <w:trPr>
          <w:trHeight w:val="381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108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</w:tr>
      <w:tr>
        <w:trPr>
          <w:trHeight w:val="2724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46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>
        <w:trPr>
          <w:trHeight w:val="5471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35 рабочих дней</w:t>
            </w:r>
          </w:p>
        </w:tc>
      </w:tr>
      <w:tr>
        <w:trPr>
          <w:trHeight w:val="2076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 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34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424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4281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инвестиционных проектов: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>
        <w:trPr>
          <w:trHeight w:val="2131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2324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509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1984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39 рабочих дней с даты окончания приема заявок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2144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1540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</w:r>
            <w:r>
              <w:rPr>
                <w:rFonts w:eastAsia="Times New Roman" w:cs="Calibri"/>
                <w:iCs/>
                <w:color w:val="623B2A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Calibri" w:ascii="Arial" w:hAnsi="Arial"/>
                <w:iCs/>
                <w:color w:val="623B2A"/>
                <w:sz w:val="21"/>
                <w:szCs w:val="21"/>
                <w:lang w:eastAsia="ru-RU"/>
              </w:rPr>
              <w:t>за исключением племенных животных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10 календарных дней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1691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электрической энергии для </w:t>
            </w:r>
            <w:r>
              <w:rPr>
                <w:rFonts w:eastAsia="Times New Roman" w:cs="Calibri" w:ascii="Arial" w:hAnsi="Arial"/>
                <w:iCs/>
                <w:color w:val="623B2A"/>
                <w:sz w:val="21"/>
                <w:szCs w:val="21"/>
                <w:lang w:eastAsia="ru-RU"/>
              </w:rPr>
              <w:t>подачи воды в целях выращивания продукции аквакультуры и (или) переработки, охлаждения и хранения водных биологических ресурсов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>
        <w:trPr>
          <w:trHeight w:val="1050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</w:t>
            </w:r>
            <w:r>
              <w:rPr>
                <w:rFonts w:eastAsia="Calibri" w:cs="Calibri" w:ascii="Arial" w:hAnsi="Arial"/>
                <w:iCs/>
                <w:color w:val="623B2A"/>
                <w:sz w:val="21"/>
                <w:szCs w:val="21"/>
                <w:lang w:eastAsia="ru-RU"/>
              </w:rPr>
              <w:t>на производство и реализацию продукции аквакультуры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>
        <w:trPr>
          <w:trHeight w:val="883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30 рабочих дней после окончания приема документов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49 рабочих дней с даты окончания приема заявок до даты выдачи результата предоставления государственной услуги</w:t>
            </w:r>
          </w:p>
        </w:tc>
      </w:tr>
      <w:tr>
        <w:trPr>
          <w:trHeight w:val="1639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34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производства молока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1699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2352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Calibri" w:ascii="Arial" w:hAnsi="Arial"/>
                <w:color w:val="784B04"/>
                <w:sz w:val="21"/>
                <w:szCs w:val="21"/>
                <w:lang w:eastAsia="ru-RU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bidi w:val="0"/>
              <w:spacing w:lineRule="auto" w:line="259" w:before="0" w:after="160"/>
              <w:ind w:left="-84" w:right="-108" w:hanging="0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  <w:lang w:eastAsia="en-US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 объявления о проведении отбора.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Calibri" w:ascii="Arial" w:hAnsi="Arial"/>
                <w:color w:val="784B04"/>
                <w:sz w:val="21"/>
                <w:szCs w:val="21"/>
                <w:lang w:eastAsia="ru-RU"/>
              </w:rPr>
              <w:t xml:space="preserve"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shd w:val="clear" w:fill="FFDBB6"/>
              <w:suppressAutoHyphens w:val="false"/>
              <w:bidi w:val="0"/>
              <w:spacing w:lineRule="auto" w:line="259" w:before="0" w:after="160"/>
              <w:ind w:left="-84" w:right="-108" w:hanging="0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  <w:lang w:eastAsia="en-US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 объявления о проведении отбора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Calibri" w:ascii="Arial" w:hAnsi="Arial"/>
                <w:color w:val="784B04"/>
                <w:sz w:val="21"/>
                <w:szCs w:val="21"/>
                <w:lang w:eastAsia="ru-RU"/>
              </w:rPr>
              <w:t xml:space="preserve"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 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bidi w:val="0"/>
              <w:spacing w:lineRule="auto" w:line="259" w:before="0" w:after="160"/>
              <w:ind w:left="-84" w:right="-108" w:hanging="0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Calibri" w:ascii="Arial" w:hAnsi="Arial"/>
                <w:color w:val="784B04"/>
                <w:sz w:val="21"/>
                <w:szCs w:val="21"/>
                <w:lang w:eastAsia="ru-RU"/>
              </w:rPr>
              <w:t xml:space="preserve"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shd w:val="clear" w:fill="FFDBB6"/>
              <w:suppressAutoHyphens w:val="false"/>
              <w:bidi w:val="0"/>
              <w:spacing w:lineRule="auto" w:line="259" w:before="0" w:after="160"/>
              <w:ind w:left="-84" w:right="-108" w:hanging="0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  <w:lang w:eastAsia="en-US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 объявления о проведении отбора.</w:t>
            </w:r>
          </w:p>
        </w:tc>
      </w:tr>
      <w:tr>
        <w:trPr>
          <w:trHeight w:val="639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>
        <w:trPr>
          <w:trHeight w:val="4616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>
        <w:trPr>
          <w:trHeight w:val="412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>
        <w:trPr>
          <w:trHeight w:val="273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>
        <w:trPr>
          <w:trHeight w:val="918" w:hRule="atLeast"/>
        </w:trPr>
        <w:tc>
          <w:tcPr>
            <w:tcW w:w="4485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>
        <w:trPr>
          <w:trHeight w:val="417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>
        <w:trPr>
          <w:trHeight w:val="882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bookmarkStart w:id="0" w:name="__DdeLink__279667_2557286441"/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  <w:bookmarkEnd w:id="0"/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>
        <w:trPr>
          <w:trHeight w:val="882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Style23"/>
                <w:rFonts w:ascii="Arial" w:hAnsi="Arial"/>
                <w:b w:val="false"/>
                <w:bCs w:val="false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 xml:space="preserve">государственная пошлина - 650 рублей;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сбор за пользование объектами животного мира ставки сбора за каждый объект животного мира устанавливаются пунктами 2 и 3. статьи 333.3.НК РФ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160"/>
              <w:ind w:left="0" w:hanging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>
        <w:trPr>
          <w:trHeight w:val="879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>
        <w:trPr>
          <w:trHeight w:val="848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>
        <w:trPr>
          <w:trHeight w:val="1012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>
        <w:trPr>
          <w:trHeight w:val="207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>
        <w:trPr>
          <w:trHeight w:val="793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>
        <w:trPr>
          <w:trHeight w:val="2110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>
        <w:trPr>
          <w:trHeight w:val="222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>
        <w:trPr>
          <w:trHeight w:val="409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>
        <w:trPr>
          <w:trHeight w:val="1653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сбор – 1141 рубль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>
        <w:trPr>
          <w:trHeight w:val="244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 xml:space="preserve">Бесплатно,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2"/>
              <w:widowControl/>
              <w:numPr>
                <w:ilvl w:val="1"/>
                <w:numId w:val="2"/>
              </w:numPr>
              <w:bidi w:val="0"/>
              <w:spacing w:lineRule="auto" w:line="259" w:before="0" w:after="160"/>
              <w:jc w:val="center"/>
              <w:rPr/>
            </w:pPr>
            <w:r>
              <w:rPr>
                <w:rFonts w:ascii="Arial" w:hAnsi="Arial"/>
                <w:color w:val="BE480A"/>
                <w:sz w:val="22"/>
                <w:szCs w:val="22"/>
              </w:rPr>
              <w:t>Комитетом по охране объектов культурного наследия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 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20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земельно-имущественных отношений 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Принятие решения об образовании земельных участков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Продажа (приватизация) муниципального имущества, находящегося в собственности муниципального образования «Целинский район»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«Целинский район» и предназначенных для сдачи в аренду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14" w:after="11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b w:val="false"/>
                <w:b w:val="false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57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- 10 календарных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неделя – принятие решения Органа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неделя – заключение договора аренды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57" w:after="57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hd w:val="clear" w:fill="FFDBB6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- 5 рабочих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неделя – принятие решения Органа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неделя – заключение договора аренды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57" w:after="57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- 30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- 37 календарных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57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- 30 рабочих дней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Calibri" w:cs="Calibri"/>
                <w:b w:val="false"/>
                <w:b w:val="false"/>
                <w:color w:val="4B2204"/>
                <w:sz w:val="21"/>
                <w:szCs w:val="21"/>
              </w:rPr>
            </w:pPr>
            <w:r>
              <w:rPr>
                <w:rFonts w:eastAsia="Calibri" w:cs="Calibri" w:ascii="Arial" w:hAnsi="Arial"/>
                <w:b w:val="false"/>
                <w:color w:val="4B2204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- 60 календарных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- 10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- 10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57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- 45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57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- 20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14" w:after="11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2 месяца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114" w:after="11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2 месяца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Продажа земельного участка без проведения торгов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i/>
                <w:color w:val="4B2204"/>
                <w:sz w:val="21"/>
                <w:szCs w:val="21"/>
              </w:rPr>
              <w:t xml:space="preserve">В случае </w:t>
            </w:r>
            <w:r>
              <w:rPr>
                <w:rFonts w:eastAsia="Arial" w:cs="Arial" w:ascii="Arial" w:hAnsi="Arial"/>
                <w:b/>
                <w:i/>
                <w:color w:val="4B2204"/>
                <w:sz w:val="21"/>
                <w:szCs w:val="21"/>
              </w:rPr>
              <w:t>если решение о предварительном согласовании</w:t>
            </w:r>
            <w:r>
              <w:rPr>
                <w:rFonts w:eastAsia="Arial" w:cs="Arial" w:ascii="Arial" w:hAnsi="Arial"/>
                <w:b w:val="false"/>
                <w:i/>
                <w:color w:val="4B2204"/>
                <w:sz w:val="21"/>
                <w:szCs w:val="21"/>
              </w:rPr>
              <w:t xml:space="preserve"> предоставления земельного участка </w:t>
            </w:r>
            <w:r>
              <w:rPr>
                <w:rFonts w:eastAsia="Arial" w:cs="Arial" w:ascii="Arial" w:hAnsi="Arial"/>
                <w:b/>
                <w:i/>
                <w:color w:val="4B2204"/>
                <w:sz w:val="21"/>
                <w:szCs w:val="21"/>
              </w:rPr>
              <w:t>не принималось</w:t>
            </w:r>
            <w:r>
              <w:rPr>
                <w:rFonts w:eastAsia="Arial" w:cs="Arial" w:ascii="Arial" w:hAnsi="Arial"/>
                <w:b w:val="false"/>
                <w:i/>
                <w:color w:val="4B2204"/>
                <w:sz w:val="21"/>
                <w:szCs w:val="21"/>
              </w:rPr>
              <w:t xml:space="preserve"> при предоставлении земельного участка </w:t>
            </w:r>
            <w:r>
              <w:rPr>
                <w:rFonts w:eastAsia="Arial" w:cs="Arial" w:ascii="Arial" w:hAnsi="Arial"/>
                <w:b/>
                <w:i/>
                <w:color w:val="4B2204"/>
                <w:sz w:val="21"/>
                <w:szCs w:val="21"/>
              </w:rPr>
              <w:t xml:space="preserve">гражданам для ИЖС, ведения ЛПХ в границах населенного пункта, садоводства, дачного хозяйства, гражданам и КФХ для осуществления КФХ его деятельности </w:t>
            </w:r>
            <w:r>
              <w:rPr>
                <w:rFonts w:eastAsia="Arial" w:cs="Arial" w:ascii="Arial" w:hAnsi="Arial"/>
                <w:b w:val="false"/>
                <w:i/>
                <w:color w:val="4B2204"/>
                <w:sz w:val="21"/>
                <w:szCs w:val="21"/>
              </w:rPr>
              <w:t xml:space="preserve">– </w:t>
            </w: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1.</w:t>
            </w: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 xml:space="preserve"> 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39.16 Земельного кодекса РФ.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30 дней со дня опубликования 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103"/>
              <w:jc w:val="left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земельного участка в собственность бесплатно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30 дней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Calibri" w:cs="Calibri"/>
                <w:b w:val="false"/>
                <w:b w:val="false"/>
                <w:color w:val="4B2204"/>
                <w:sz w:val="21"/>
                <w:szCs w:val="21"/>
              </w:rPr>
            </w:pPr>
            <w:r>
              <w:rPr>
                <w:rFonts w:eastAsia="Calibri" w:cs="Calibri" w:ascii="Arial" w:hAnsi="Arial"/>
                <w:b w:val="false"/>
                <w:color w:val="4B2204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 30 дней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i/>
                <w:color w:val="4B2204"/>
                <w:sz w:val="21"/>
                <w:szCs w:val="21"/>
              </w:rPr>
              <w:t xml:space="preserve">При обращении за предварительным согласованием </w:t>
            </w:r>
            <w:r>
              <w:rPr>
                <w:rFonts w:eastAsia="Arial" w:cs="Arial" w:ascii="Arial" w:hAnsi="Arial"/>
                <w:b/>
                <w:i/>
                <w:color w:val="4B2204"/>
                <w:sz w:val="21"/>
                <w:szCs w:val="21"/>
              </w:rPr>
              <w:t xml:space="preserve">граждан для ИЖС, ведения ЛПХ в границах населенного пункта, садоводства, дачного хозяйства, граждан и КФХ для осуществления КФХ его деятельности </w:t>
            </w:r>
            <w:r>
              <w:rPr>
                <w:rFonts w:eastAsia="Arial" w:cs="Arial" w:ascii="Arial" w:hAnsi="Arial"/>
                <w:b w:val="false"/>
                <w:i/>
                <w:color w:val="4B2204"/>
                <w:sz w:val="21"/>
                <w:szCs w:val="21"/>
              </w:rPr>
              <w:t xml:space="preserve">– </w:t>
            </w: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1.</w:t>
            </w: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 xml:space="preserve"> 30 дней на опубликование извещения о предоставлении земельного участка для указанных целей </w:t>
            </w: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или</w:t>
            </w: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4B2204"/>
                <w:sz w:val="21"/>
                <w:szCs w:val="21"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103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46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1 месяц - в случае образования земельного участка путем раздела или объединения земельного участка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2 месяца - в случае образования участка для проведения аукциона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архитектуры и градостроительства 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46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разрешения на строительство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10 дн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разрешения на ввод объекта в эксплуатацию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10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градостроительного плана земельного участка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30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45 календарных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2 месяца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46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– 14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4B2204"/>
                <w:sz w:val="21"/>
                <w:szCs w:val="21"/>
              </w:rPr>
              <w:t xml:space="preserve">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  <w:t>срок услуги: 1 месяц со дня формирования земельного участка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4B2204"/>
                <w:sz w:val="21"/>
                <w:szCs w:val="21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 ведения личного подсобного хозяйства или создания КФХ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  <w:t>срок услуги: 1 месяц со дня формирования земельного участка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30 календарных дней</w:t>
            </w:r>
          </w:p>
        </w:tc>
      </w:tr>
      <w:tr>
        <w:trPr>
          <w:trHeight w:val="309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>
        <w:trPr>
          <w:trHeight w:val="576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 xml:space="preserve">Корпорация МСП 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 xml:space="preserve">Комплексная услуга по предоставлению информации о формах и условиях поддержки сельскохозяйственной кооперации 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1236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099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746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Услуга по информированию о Цифровой платформе МСП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Arial" w:hAnsi="Arial"/>
                <w:color w:val="492300"/>
                <w:sz w:val="21"/>
                <w:szCs w:val="21"/>
              </w:rPr>
              <w:t xml:space="preserve">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color w:val="492300"/>
              </w:rPr>
            </w:pPr>
            <w:r>
              <w:rPr>
                <w:rFonts w:cs="Arial" w:ascii="Arial" w:hAnsi="Arial"/>
                <w:iCs/>
                <w:color w:val="492300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color w:val="492300"/>
              </w:rPr>
            </w:pPr>
            <w:r>
              <w:rPr>
                <w:rFonts w:cs="Arial" w:ascii="Arial" w:hAnsi="Arial"/>
                <w:iCs/>
                <w:color w:val="492300"/>
                <w:sz w:val="21"/>
                <w:szCs w:val="21"/>
              </w:rPr>
              <w:t>срок оказания услуги – 1 рабочий день</w:t>
            </w:r>
            <w:bookmarkStart w:id="1" w:name="_GoBack"/>
            <w:bookmarkEnd w:id="1"/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bookmarkStart w:id="2" w:name="page68R_mcid52"/>
            <w:bookmarkEnd w:id="2"/>
            <w:r>
              <w:rPr>
                <w:rFonts w:ascii="Arial" w:hAnsi="Arial"/>
                <w:color w:val="784B04"/>
                <w:sz w:val="21"/>
                <w:szCs w:val="21"/>
              </w:rPr>
              <w:t>Прием обратной связи по</w:t>
              <w:br/>
              <w:t>результатам проверок органов</w:t>
              <w:br/>
              <w:t>государственного контроля</w:t>
              <w:br/>
              <w:t>(надзора) по направлению в</w:t>
              <w:br/>
              <w:t>Генеральную прокуратуру</w:t>
              <w:br/>
              <w:t>Российской Федерации и (или) в</w:t>
              <w:br/>
              <w:t>федеральные органы</w:t>
              <w:br/>
              <w:t>исполнительной власти,</w:t>
              <w:br/>
              <w:t>уполномоченные на осуществление</w:t>
              <w:br/>
              <w:t>государственного контроля</w:t>
              <w:br/>
              <w:t>(надзора), такой обратной связи и</w:t>
              <w:br/>
              <w:t>обращений о нарушениях,</w:t>
              <w:br/>
              <w:t>допущенных при проведении проверок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bookmarkStart w:id="3" w:name="page68R_mcid60"/>
            <w:bookmarkEnd w:id="3"/>
            <w:r>
              <w:rPr>
                <w:rFonts w:ascii="Arial" w:hAnsi="Arial"/>
                <w:color w:val="784B04"/>
                <w:sz w:val="21"/>
                <w:szCs w:val="21"/>
              </w:rPr>
              <w:t>Услуга по информированию о</w:t>
              <w:br/>
              <w:t>Программе льготного лизинга</w:t>
              <w:br/>
              <w:t>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417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784B04"/>
                <w:lang w:eastAsia="ru-RU"/>
              </w:rPr>
              <w:t>Уполномоченный по защите прав предпринимателей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784B04"/>
                <w:sz w:val="21"/>
                <w:szCs w:val="21"/>
                <w:lang w:eastAsia="ru-RU"/>
              </w:rPr>
              <w:t xml:space="preserve"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4B2204"/>
                <w:sz w:val="21"/>
                <w:szCs w:val="21"/>
                <w:lang w:eastAsia="ru-RU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  <w:lang w:eastAsia="ru-RU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BE480A"/>
                <w:lang w:eastAsia="ru-RU"/>
              </w:rPr>
              <w:t>АНО «РРАПП»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84B04"/>
                <w:sz w:val="21"/>
                <w:szCs w:val="21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84B04"/>
                <w:sz w:val="21"/>
                <w:szCs w:val="21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4B2204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Услуги публичного акционерного общества «Россети Юг»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кВт, включительно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Услуги открытого акционерного общества «Донэнерго»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984806"/>
                <w:sz w:val="21"/>
                <w:szCs w:val="21"/>
              </w:rPr>
              <w:t>Прием уведомлений о выполнении технических условий, указанных в договоре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984806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984806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Приема от заявителей заявок о заключении договора о подключении в рамках догазификации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определяется действующим законодательством Российской Федерации</w:t>
            </w:r>
          </w:p>
        </w:tc>
      </w:tr>
      <w:tr>
        <w:trPr>
          <w:trHeight w:val="315" w:hRule="atLeast"/>
        </w:trPr>
        <w:tc>
          <w:tcPr>
            <w:tcW w:w="10710" w:type="dxa"/>
            <w:gridSpan w:val="3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Прочие услуги и сервисы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Направление (получение) документов в электронном виде, в том числе в форме электронного документа, в Ростовский областной суд, районные (городские) суды Ростовской области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Регистрация граждан в ЕСИА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Распечатывание Сертификата о вакцинации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мероприятия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Организация реализации проекта «Лица Победы»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обращения. Информация направленная на сайт проекта «Лица Победы» обрабатывается в течении нескольких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Получение результатов оказания услуги от Единого портала государственных и муниципальных услуг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Единый портал государственных и муниципальных услуг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Подача заявки на проведение онлайн-консультации в рамках проекта «МФЦ – общественные приемные органов власти и организаций»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57" w:after="217"/>
              <w:rPr>
                <w:rFonts w:ascii="Arial" w:hAnsi="Arial" w:cs="Arial"/>
                <w:color w:val="623B2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623B2A"/>
                <w:sz w:val="21"/>
                <w:szCs w:val="21"/>
                <w:shd w:fill="FFFFFF" w:val="clear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before="57" w:after="217"/>
              <w:rPr>
                <w:rFonts w:ascii="Arial" w:hAnsi="Arial" w:cs="Arial"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color w:val="623B2A"/>
                <w:sz w:val="21"/>
                <w:szCs w:val="21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before="57" w:after="217"/>
              <w:rPr>
                <w:rFonts w:ascii="Arial" w:hAnsi="Arial" w:cs="Arial"/>
                <w:color w:val="623B2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623B2A"/>
                <w:sz w:val="21"/>
                <w:szCs w:val="21"/>
                <w:shd w:fill="FFFFFF" w:val="clear"/>
              </w:rPr>
              <w:t>Информирование о статусе отказа ФЛ от сбора биометрии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>
        <w:trPr>
          <w:trHeight w:val="452" w:hRule="atLeast"/>
        </w:trPr>
        <w:tc>
          <w:tcPr>
            <w:tcW w:w="107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hd w:val="clear" w:fill="FFDBB6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color w:val="984806"/>
                <w:sz w:val="22"/>
                <w:szCs w:val="22"/>
                <w:lang w:eastAsia="ru-RU"/>
              </w:rPr>
              <w:t>Дополнительные  услуги МАУ МФЦ Целинского района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Составление  договоров</w:t>
            </w:r>
          </w:p>
        </w:tc>
        <w:tc>
          <w:tcPr>
            <w:tcW w:w="23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1500,00 – 2000,00</w:t>
            </w:r>
          </w:p>
        </w:tc>
        <w:tc>
          <w:tcPr>
            <w:tcW w:w="39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5 рабочих дней</w:t>
            </w:r>
          </w:p>
        </w:tc>
      </w:tr>
      <w:tr>
        <w:trPr>
          <w:trHeight w:val="315" w:hRule="atLeast"/>
        </w:trPr>
        <w:tc>
          <w:tcPr>
            <w:tcW w:w="4485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 xml:space="preserve">Выдача (замена) полисов ОМС </w:t>
            </w:r>
          </w:p>
        </w:tc>
        <w:tc>
          <w:tcPr>
            <w:tcW w:w="2322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3" w:type="dxa"/>
            <w:tcBorders/>
            <w:shd w:fill="FFDBB6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color w:val="7B3D00"/>
                <w:sz w:val="21"/>
                <w:szCs w:val="21"/>
              </w:rPr>
              <w:t>30 календарных дней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62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502" w:hanging="360"/>
      </w:pPr>
      <w:rPr>
        <w:sz w:val="21"/>
        <w:b w:val="false"/>
        <w:rFonts w:ascii="Arial" w:hAnsi="Arial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25"/>
    <w:next w:val="Style2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qFormat/>
    <w:rsid w:val="004b1ca3"/>
    <w:rPr>
      <w:i/>
      <w:iCs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b462e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eb462e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7a3727"/>
    <w:rPr>
      <w:rFonts w:ascii="Segoe UI" w:hAnsi="Segoe UI" w:cs="Segoe UI"/>
      <w:sz w:val="18"/>
      <w:szCs w:val="18"/>
    </w:rPr>
  </w:style>
  <w:style w:type="character" w:styleId="Style17" w:customStyle="1">
    <w:name w:val="Текст сноски Знак"/>
    <w:basedOn w:val="DefaultParagraphFont"/>
    <w:link w:val="ac"/>
    <w:uiPriority w:val="99"/>
    <w:semiHidden/>
    <w:qFormat/>
    <w:rsid w:val="00387b5a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7b5a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"/>
      <w:b w:val="false"/>
      <w:sz w:val="21"/>
    </w:rPr>
  </w:style>
  <w:style w:type="character" w:styleId="ListLabel8">
    <w:name w:val="ListLabel 8"/>
    <w:qFormat/>
    <w:rPr>
      <w:rFonts w:ascii="Arial" w:hAnsi="Arial" w:cs="Arial"/>
      <w:iCs/>
      <w:color w:val="623B2A"/>
      <w:sz w:val="21"/>
      <w:szCs w:val="21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ListLabel9">
    <w:name w:val="ListLabel 9"/>
    <w:qFormat/>
    <w:rPr>
      <w:rFonts w:ascii="Arial" w:hAnsi="Arial" w:cs="Symbol"/>
      <w:sz w:val="21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Arial" w:hAnsi="Arial" w:cs=""/>
      <w:b w:val="false"/>
      <w:sz w:val="21"/>
    </w:rPr>
  </w:style>
  <w:style w:type="character" w:styleId="ListLabel19">
    <w:name w:val="ListLabel 19"/>
    <w:qFormat/>
    <w:rPr>
      <w:rFonts w:ascii="Arial" w:hAnsi="Arial" w:cs="Arial"/>
      <w:iCs/>
      <w:color w:val="623B2A"/>
      <w:sz w:val="21"/>
      <w:szCs w:val="21"/>
    </w:rPr>
  </w:style>
  <w:style w:type="character" w:styleId="ListLabel20">
    <w:name w:val="ListLabel 20"/>
    <w:qFormat/>
    <w:rPr>
      <w:rFonts w:ascii="Arial" w:hAnsi="Arial" w:cs="Symbol"/>
      <w:sz w:val="21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"/>
      <w:b w:val="false"/>
      <w:sz w:val="21"/>
    </w:rPr>
  </w:style>
  <w:style w:type="character" w:styleId="ListLabel30">
    <w:name w:val="ListLabel 30"/>
    <w:qFormat/>
    <w:rPr>
      <w:rFonts w:ascii="Arial" w:hAnsi="Arial" w:cs="Arial"/>
      <w:iCs/>
      <w:color w:val="623B2A"/>
      <w:sz w:val="21"/>
      <w:szCs w:val="21"/>
    </w:rPr>
  </w:style>
  <w:style w:type="character" w:styleId="ListLabel31">
    <w:name w:val="ListLabel 31"/>
    <w:qFormat/>
    <w:rPr>
      <w:rFonts w:ascii="Arial" w:hAnsi="Arial" w:cs="Symbol"/>
      <w:sz w:val="21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" w:hAnsi="Arial" w:cs=""/>
      <w:b w:val="false"/>
      <w:sz w:val="21"/>
    </w:rPr>
  </w:style>
  <w:style w:type="character" w:styleId="ListLabel41">
    <w:name w:val="ListLabel 41"/>
    <w:qFormat/>
    <w:rPr>
      <w:rFonts w:ascii="Arial" w:hAnsi="Arial" w:cs="Arial"/>
      <w:iCs/>
      <w:color w:val="623B2A"/>
      <w:sz w:val="21"/>
      <w:szCs w:val="21"/>
    </w:rPr>
  </w:style>
  <w:style w:type="character" w:styleId="ListLabel42">
    <w:name w:val="ListLabel 42"/>
    <w:qFormat/>
    <w:rPr>
      <w:rFonts w:ascii="Arial" w:hAnsi="Arial" w:cs="Symbol"/>
      <w:sz w:val="21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Arial" w:hAnsi="Arial" w:cs=""/>
      <w:b w:val="false"/>
      <w:sz w:val="21"/>
    </w:rPr>
  </w:style>
  <w:style w:type="character" w:styleId="ListLabel52">
    <w:name w:val="ListLabel 52"/>
    <w:qFormat/>
    <w:rPr>
      <w:rFonts w:ascii="Arial" w:hAnsi="Arial" w:cs="Arial"/>
      <w:iCs/>
      <w:color w:val="623B2A"/>
      <w:sz w:val="21"/>
      <w:szCs w:val="21"/>
    </w:rPr>
  </w:style>
  <w:style w:type="character" w:styleId="Style23">
    <w:name w:val="Выделение жирным"/>
    <w:qFormat/>
    <w:rPr>
      <w:b/>
      <w:bCs/>
    </w:rPr>
  </w:style>
  <w:style w:type="character" w:styleId="ListLabel53">
    <w:name w:val="ListLabel 53"/>
    <w:qFormat/>
    <w:rPr>
      <w:rFonts w:ascii="Arial" w:hAnsi="Arial" w:cs="Symbol"/>
      <w:sz w:val="21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cs=""/>
      <w:b w:val="false"/>
      <w:sz w:val="21"/>
    </w:rPr>
  </w:style>
  <w:style w:type="character" w:styleId="ListLabel63">
    <w:name w:val="ListLabel 63"/>
    <w:qFormat/>
    <w:rPr>
      <w:rFonts w:ascii="Arial" w:hAnsi="Arial" w:cs="Arial"/>
      <w:iCs/>
      <w:color w:val="623B2A"/>
      <w:sz w:val="21"/>
      <w:szCs w:val="21"/>
    </w:rPr>
  </w:style>
  <w:style w:type="character" w:styleId="ListLabel64">
    <w:name w:val="ListLabel 64"/>
    <w:qFormat/>
    <w:rPr>
      <w:rFonts w:ascii="Arial" w:hAnsi="Arial" w:cs="Symbol"/>
      <w:sz w:val="21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Arial" w:hAnsi="Arial" w:cs=""/>
      <w:b w:val="false"/>
      <w:sz w:val="21"/>
    </w:rPr>
  </w:style>
  <w:style w:type="character" w:styleId="ListLabel74">
    <w:name w:val="ListLabel 74"/>
    <w:qFormat/>
    <w:rPr>
      <w:rFonts w:ascii="Arial" w:hAnsi="Arial" w:cs="Arial"/>
      <w:iCs/>
      <w:color w:val="623B2A"/>
      <w:sz w:val="21"/>
      <w:szCs w:val="21"/>
    </w:rPr>
  </w:style>
  <w:style w:type="character" w:styleId="ListLabel75">
    <w:name w:val="ListLabel 75"/>
    <w:qFormat/>
    <w:rPr>
      <w:rFonts w:ascii="Arial" w:hAnsi="Arial" w:cs="Symbol"/>
      <w:sz w:val="21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cs=""/>
      <w:b w:val="false"/>
      <w:sz w:val="21"/>
    </w:rPr>
  </w:style>
  <w:style w:type="character" w:styleId="ListLabel85">
    <w:name w:val="ListLabel 85"/>
    <w:qFormat/>
    <w:rPr>
      <w:rFonts w:ascii="Arial" w:hAnsi="Arial" w:cs="Arial"/>
      <w:iCs/>
      <w:color w:val="623B2A"/>
      <w:sz w:val="21"/>
      <w:szCs w:val="21"/>
    </w:rPr>
  </w:style>
  <w:style w:type="character" w:styleId="ListLabel86">
    <w:name w:val="ListLabel 86"/>
    <w:qFormat/>
    <w:rPr>
      <w:rFonts w:ascii="Arial" w:hAnsi="Arial" w:cs="Symbol"/>
      <w:sz w:val="21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Arial" w:hAnsi="Arial" w:cs=""/>
      <w:b w:val="false"/>
      <w:sz w:val="21"/>
    </w:rPr>
  </w:style>
  <w:style w:type="character" w:styleId="ListLabel96">
    <w:name w:val="ListLabel 96"/>
    <w:qFormat/>
    <w:rPr>
      <w:rFonts w:ascii="Arial" w:hAnsi="Arial" w:cs="Arial"/>
      <w:iCs/>
      <w:color w:val="623B2A"/>
      <w:sz w:val="21"/>
      <w:szCs w:val="21"/>
    </w:rPr>
  </w:style>
  <w:style w:type="character" w:styleId="Style24">
    <w:name w:val="Маркеры списка"/>
    <w:qFormat/>
    <w:rPr>
      <w:rFonts w:ascii="OpenSymbol" w:hAnsi="OpenSymbol" w:eastAsia="OpenSymbol" w:cs="OpenSymbol"/>
    </w:rPr>
  </w:style>
  <w:style w:type="character" w:styleId="ListLabel97">
    <w:name w:val="ListLabel 97"/>
    <w:qFormat/>
    <w:rPr>
      <w:rFonts w:cs="Symbol"/>
      <w:sz w:val="21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"/>
      <w:b w:val="false"/>
      <w:sz w:val="21"/>
    </w:rPr>
  </w:style>
  <w:style w:type="character" w:styleId="ListLabel107">
    <w:name w:val="ListLabel 107"/>
    <w:qFormat/>
    <w:rPr>
      <w:rFonts w:ascii="Arial" w:hAnsi="Arial" w:cs="Arial"/>
      <w:iCs/>
      <w:color w:val="623B2A"/>
      <w:sz w:val="20"/>
      <w:szCs w:val="20"/>
    </w:rPr>
  </w:style>
  <w:style w:type="character" w:styleId="ListLabel108">
    <w:name w:val="ListLabel 108"/>
    <w:qFormat/>
    <w:rPr>
      <w:rFonts w:ascii="Arial" w:hAnsi="Arial" w:cs=""/>
      <w:b w:val="false"/>
      <w:sz w:val="21"/>
    </w:rPr>
  </w:style>
  <w:style w:type="character" w:styleId="ListLabel109">
    <w:name w:val="ListLabel 109"/>
    <w:qFormat/>
    <w:rPr>
      <w:rFonts w:ascii="Arial" w:hAnsi="Arial" w:cs="Arial"/>
      <w:iCs/>
      <w:color w:val="623B2A"/>
      <w:sz w:val="20"/>
      <w:szCs w:val="20"/>
    </w:rPr>
  </w:style>
  <w:style w:type="character" w:styleId="ListLabel110">
    <w:name w:val="ListLabel 110"/>
    <w:qFormat/>
    <w:rPr>
      <w:rFonts w:ascii="Arial" w:hAnsi="Arial" w:cs=""/>
      <w:b w:val="false"/>
      <w:sz w:val="21"/>
    </w:rPr>
  </w:style>
  <w:style w:type="character" w:styleId="ListLabel111">
    <w:name w:val="ListLabel 111"/>
    <w:qFormat/>
    <w:rPr>
      <w:rFonts w:ascii="Arial" w:hAnsi="Arial" w:cs="Arial"/>
      <w:iCs/>
      <w:color w:val="623B2A"/>
      <w:sz w:val="20"/>
      <w:szCs w:val="20"/>
    </w:rPr>
  </w:style>
  <w:style w:type="character" w:styleId="ListLabel112">
    <w:name w:val="ListLabel 112"/>
    <w:qFormat/>
    <w:rPr>
      <w:rFonts w:ascii="Arial" w:hAnsi="Arial" w:cs=""/>
      <w:b w:val="false"/>
      <w:sz w:val="21"/>
    </w:rPr>
  </w:style>
  <w:style w:type="character" w:styleId="ListLabel113">
    <w:name w:val="ListLabel 113"/>
    <w:qFormat/>
    <w:rPr>
      <w:rFonts w:ascii="Arial" w:hAnsi="Arial" w:cs="Arial"/>
      <w:iCs/>
      <w:color w:val="623B2A"/>
      <w:sz w:val="20"/>
      <w:szCs w:val="20"/>
    </w:rPr>
  </w:style>
  <w:style w:type="character" w:styleId="ListLabel114">
    <w:name w:val="ListLabel 114"/>
    <w:qFormat/>
    <w:rPr>
      <w:rFonts w:ascii="Arial" w:hAnsi="Arial" w:cs=""/>
      <w:b w:val="false"/>
      <w:sz w:val="21"/>
    </w:rPr>
  </w:style>
  <w:style w:type="character" w:styleId="ListLabel115">
    <w:name w:val="ListLabel 115"/>
    <w:qFormat/>
    <w:rPr>
      <w:rFonts w:ascii="Arial" w:hAnsi="Arial" w:cs="Arial"/>
      <w:iCs/>
      <w:color w:val="623B2A"/>
      <w:sz w:val="20"/>
      <w:szCs w:val="20"/>
    </w:rPr>
  </w:style>
  <w:style w:type="character" w:styleId="ListLabel116">
    <w:name w:val="ListLabel 116"/>
    <w:qFormat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styleId="ListLabel117">
    <w:name w:val="ListLabel 117"/>
    <w:qFormat/>
    <w:rPr>
      <w:rFonts w:ascii="Arial" w:hAnsi="Arial" w:cs=""/>
      <w:b w:val="false"/>
      <w:sz w:val="21"/>
    </w:rPr>
  </w:style>
  <w:style w:type="character" w:styleId="ListLabel118">
    <w:name w:val="ListLabel 118"/>
    <w:qFormat/>
    <w:rPr>
      <w:rFonts w:ascii="Arial" w:hAnsi="Arial" w:cs="Arial"/>
      <w:iCs/>
      <w:color w:val="623B2A"/>
      <w:sz w:val="20"/>
      <w:szCs w:val="20"/>
    </w:rPr>
  </w:style>
  <w:style w:type="character" w:styleId="ListLabel119">
    <w:name w:val="ListLabel 119"/>
    <w:qFormat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styleId="ListLabel120">
    <w:name w:val="ListLabel 120"/>
    <w:qFormat/>
    <w:rPr>
      <w:rFonts w:ascii="Arial" w:hAnsi="Arial" w:cs=""/>
      <w:b w:val="false"/>
      <w:sz w:val="21"/>
    </w:rPr>
  </w:style>
  <w:style w:type="character" w:styleId="ListLabel121">
    <w:name w:val="ListLabel 121"/>
    <w:qFormat/>
    <w:rPr>
      <w:rFonts w:ascii="Arial" w:hAnsi="Arial" w:cs="Arial"/>
      <w:iCs/>
      <w:color w:val="623B2A"/>
      <w:sz w:val="20"/>
      <w:szCs w:val="20"/>
    </w:rPr>
  </w:style>
  <w:style w:type="character" w:styleId="ListLabel122">
    <w:name w:val="ListLabel 122"/>
    <w:qFormat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styleId="ListLabel123">
    <w:name w:val="ListLabel 123"/>
    <w:qFormat/>
    <w:rPr>
      <w:rFonts w:ascii="Arial" w:hAnsi="Arial" w:cs=""/>
      <w:b w:val="false"/>
      <w:sz w:val="21"/>
    </w:rPr>
  </w:style>
  <w:style w:type="character" w:styleId="ListLabel124">
    <w:name w:val="ListLabel 124"/>
    <w:qFormat/>
    <w:rPr>
      <w:rFonts w:ascii="Arial" w:hAnsi="Arial" w:cs="Arial"/>
      <w:iCs/>
      <w:color w:val="623B2A"/>
      <w:sz w:val="20"/>
      <w:szCs w:val="20"/>
    </w:rPr>
  </w:style>
  <w:style w:type="character" w:styleId="ListLabel125">
    <w:name w:val="ListLabel 125"/>
    <w:qFormat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styleId="ListLabel126">
    <w:name w:val="ListLabel 126"/>
    <w:qFormat/>
    <w:rPr>
      <w:rFonts w:ascii="Arial" w:hAnsi="Arial" w:cs=""/>
      <w:b w:val="false"/>
      <w:sz w:val="21"/>
    </w:rPr>
  </w:style>
  <w:style w:type="character" w:styleId="ListLabel127">
    <w:name w:val="ListLabel 127"/>
    <w:qFormat/>
    <w:rPr>
      <w:rFonts w:ascii="Arial" w:hAnsi="Arial" w:cs="Arial"/>
      <w:iCs/>
      <w:color w:val="623B2A"/>
      <w:sz w:val="20"/>
      <w:szCs w:val="20"/>
    </w:rPr>
  </w:style>
  <w:style w:type="character" w:styleId="ListLabel128">
    <w:name w:val="ListLabel 128"/>
    <w:qFormat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styleId="ListLabel129">
    <w:name w:val="ListLabel 129"/>
    <w:qFormat/>
    <w:rPr>
      <w:rFonts w:ascii="Arial" w:hAnsi="Arial" w:cs=""/>
      <w:b w:val="false"/>
      <w:sz w:val="21"/>
    </w:rPr>
  </w:style>
  <w:style w:type="character" w:styleId="ListLabel130">
    <w:name w:val="ListLabel 130"/>
    <w:qFormat/>
    <w:rPr>
      <w:rFonts w:ascii="Arial" w:hAnsi="Arial" w:cs="Arial"/>
      <w:iCs/>
      <w:color w:val="623B2A"/>
      <w:sz w:val="20"/>
      <w:szCs w:val="20"/>
    </w:rPr>
  </w:style>
  <w:style w:type="character" w:styleId="ListLabel131">
    <w:name w:val="ListLabel 131"/>
    <w:qFormat/>
    <w:rPr>
      <w:rFonts w:ascii="Arial" w:hAnsi="Arial" w:cs=""/>
      <w:b w:val="false"/>
      <w:sz w:val="21"/>
    </w:rPr>
  </w:style>
  <w:style w:type="character" w:styleId="ListLabel132">
    <w:name w:val="ListLabel 132"/>
    <w:qFormat/>
    <w:rPr>
      <w:rFonts w:ascii="Arial" w:hAnsi="Arial" w:cs="Arial"/>
      <w:iCs/>
      <w:color w:val="623B2A"/>
      <w:sz w:val="20"/>
      <w:szCs w:val="20"/>
    </w:rPr>
  </w:style>
  <w:style w:type="character" w:styleId="ListLabel133">
    <w:name w:val="ListLabel 133"/>
    <w:qFormat/>
    <w:rPr>
      <w:rFonts w:ascii="Arial" w:hAnsi="Arial" w:cs="Arial"/>
      <w:color w:val="583D2E"/>
      <w:sz w:val="21"/>
      <w:szCs w:val="21"/>
    </w:rPr>
  </w:style>
  <w:style w:type="character" w:styleId="ListLabel134">
    <w:name w:val="ListLabel 134"/>
    <w:qFormat/>
    <w:rPr>
      <w:rFonts w:ascii="Arial" w:hAnsi="Arial" w:cs=""/>
      <w:b w:val="false"/>
      <w:sz w:val="21"/>
    </w:rPr>
  </w:style>
  <w:style w:type="character" w:styleId="ListLabel135">
    <w:name w:val="ListLabel 135"/>
    <w:qFormat/>
    <w:rPr>
      <w:rFonts w:ascii="Arial" w:hAnsi="Arial" w:cs="Arial"/>
      <w:iCs/>
      <w:color w:val="623B2A"/>
      <w:sz w:val="20"/>
      <w:szCs w:val="20"/>
    </w:rPr>
  </w:style>
  <w:style w:type="character" w:styleId="ListLabel136">
    <w:name w:val="ListLabel 136"/>
    <w:qFormat/>
    <w:rPr>
      <w:rFonts w:ascii="Arial" w:hAnsi="Arial" w:cs="Arial"/>
      <w:color w:val="583D2E"/>
      <w:sz w:val="21"/>
      <w:szCs w:val="21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Style30">
    <w:name w:val="Header"/>
    <w:basedOn w:val="Normal"/>
    <w:link w:val="a6"/>
    <w:uiPriority w:val="99"/>
    <w:unhideWhenUsed/>
    <w:rsid w:val="00eb462e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8"/>
    <w:uiPriority w:val="99"/>
    <w:unhideWhenUsed/>
    <w:rsid w:val="00eb462e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50f1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a37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2">
    <w:name w:val="Footnote Text"/>
    <w:basedOn w:val="Normal"/>
    <w:link w:val="ad"/>
    <w:uiPriority w:val="99"/>
    <w:semiHidden/>
    <w:unhideWhenUsed/>
    <w:rsid w:val="00387b5a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de0e1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en-US" w:bidi="ar-SA"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16"/>
      <w:szCs w:val="16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A63F-5CE4-4600-8E92-225180B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LibreOffice/6.1.4.2$Windows_x86 LibreOffice_project/9d0f32d1f0b509096fd65e0d4bec26ddd1938fd3</Application>
  <Pages>21</Pages>
  <Words>4816</Words>
  <Characters>35556</Characters>
  <CharactersWithSpaces>39970</CharactersWithSpaces>
  <Paragraphs>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2023-06-16T09:38:00Z</dcterms:created>
  <dc:creator>Лаврова Ольга Алексеевна</dc:creator>
  <dc:description/>
  <dc:language>ru-RU</dc:language>
  <cp:lastModifiedBy/>
  <cp:lastPrinted>2023-05-17T11:23:29Z</cp:lastPrinted>
  <dcterms:modified xsi:type="dcterms:W3CDTF">2023-06-26T12:34:07Z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