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lineRule="auto" w:line="240" w:before="0" w:after="120"/>
        <w:jc w:val="center"/>
        <w:rPr>
          <w:szCs w:val="24"/>
          <w:lang w:eastAsia="ru-RU"/>
        </w:rPr>
      </w:pPr>
      <w:r>
        <w:rPr>
          <w:sz w:val="16"/>
          <w:szCs w:val="16"/>
          <w:lang w:eastAsia="ru-RU"/>
        </w:rPr>
        <w:t xml:space="preserve">Перечень государственных и муниципальных услуг </w:t>
      </w:r>
      <w:r>
        <w:rPr>
          <w:sz w:val="16"/>
          <w:szCs w:val="16"/>
          <w:lang w:eastAsia="ru-RU"/>
        </w:rPr>
        <w:t>для бизнеса</w:t>
      </w:r>
      <w:r>
        <w:rPr>
          <w:sz w:val="16"/>
          <w:szCs w:val="16"/>
          <w:lang w:eastAsia="ru-RU"/>
        </w:rPr>
        <w:t>,</w:t>
      </w:r>
    </w:p>
    <w:p>
      <w:pPr>
        <w:pStyle w:val="1"/>
        <w:spacing w:lineRule="auto" w:line="240" w:before="0" w:after="120"/>
        <w:jc w:val="center"/>
        <w:rPr>
          <w:sz w:val="16"/>
          <w:szCs w:val="16"/>
        </w:rPr>
      </w:pPr>
      <w:r>
        <w:rPr>
          <w:sz w:val="16"/>
          <w:szCs w:val="16"/>
          <w:lang w:eastAsia="ru-RU"/>
        </w:rPr>
        <w:t>предоставляемых в МФЦ Родионово-Несветайского района</w:t>
      </w:r>
    </w:p>
    <w:tbl>
      <w:tblPr>
        <w:tblStyle w:val="af4"/>
        <w:tblW w:w="11088" w:type="dxa"/>
        <w:jc w:val="left"/>
        <w:tblInd w:w="135" w:type="dxa"/>
        <w:tblCellMar>
          <w:top w:w="0" w:type="dxa"/>
          <w:left w:w="6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0"/>
        <w:gridCol w:w="4929"/>
        <w:gridCol w:w="1810"/>
        <w:gridCol w:w="3898"/>
      </w:tblGrid>
      <w:tr>
        <w:trPr>
          <w:trHeight w:val="567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8,5" w:hAnsi="8,5"/>
                <w:sz w:val="16"/>
                <w:szCs w:val="16"/>
              </w:rPr>
            </w:pPr>
            <w:r>
              <w:rPr>
                <w:rFonts w:ascii="8,5" w:hAnsi="8,5"/>
                <w:sz w:val="14"/>
                <w:szCs w:val="14"/>
              </w:rPr>
              <w:t xml:space="preserve">№ </w:t>
            </w:r>
            <w:r>
              <w:rPr>
                <w:rFonts w:ascii="8,5" w:hAnsi="8,5"/>
                <w:sz w:val="14"/>
                <w:szCs w:val="14"/>
              </w:rPr>
              <w:t>п/п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  <w:sz w:val="14"/>
                <w:szCs w:val="14"/>
              </w:rPr>
              <w:t>Наименование услуги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  <w:sz w:val="14"/>
                <w:szCs w:val="14"/>
              </w:rPr>
              <w:t>Стоимость (руб.)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  <w:sz w:val="14"/>
                <w:szCs w:val="14"/>
              </w:rPr>
              <w:t>Сроки оказания услуги</w:t>
            </w:r>
          </w:p>
        </w:tc>
      </w:tr>
      <w:tr>
        <w:trPr>
          <w:trHeight w:val="219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8,5" w:hAnsi="8,5"/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</w:r>
          </w:p>
        </w:tc>
        <w:tc>
          <w:tcPr>
            <w:tcW w:w="1063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ФНС России</w:t>
            </w:r>
          </w:p>
        </w:tc>
      </w:tr>
      <w:tr>
        <w:trPr>
          <w:trHeight w:val="529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n-US"/>
              </w:rPr>
            </w:pPr>
            <w:r>
              <w:rPr>
                <w:rFonts w:ascii="8,5" w:hAnsi="8,5"/>
                <w:sz w:val="14"/>
                <w:szCs w:val="14"/>
                <w:lang w:val="en-US"/>
              </w:rPr>
              <w:t>1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tabs>
                <w:tab w:val="left" w:pos="256" w:leader="none"/>
              </w:tabs>
              <w:spacing w:lineRule="auto" w:line="240" w:before="0" w:after="0"/>
              <w:ind w:left="360" w:hanging="0"/>
              <w:rPr>
                <w:rFonts w:cs="Arial"/>
                <w:bCs/>
                <w:sz w:val="16"/>
              </w:rPr>
            </w:pPr>
            <w:r>
              <w:rPr>
                <w:rFonts w:cs="Arial"/>
                <w:bCs/>
                <w:sz w:val="14"/>
                <w:szCs w:val="14"/>
              </w:rPr>
              <w:t xml:space="preserve">пошлина: </w:t>
            </w:r>
          </w:p>
          <w:p>
            <w:pPr>
              <w:pStyle w:val="Normal"/>
              <w:tabs>
                <w:tab w:val="left" w:pos="256" w:leader="none"/>
              </w:tabs>
              <w:spacing w:lineRule="auto" w:line="240" w:before="0" w:after="0"/>
              <w:rPr>
                <w:rFonts w:cs="Arial"/>
                <w:bCs/>
                <w:sz w:val="16"/>
              </w:rPr>
            </w:pPr>
            <w:r>
              <w:rPr>
                <w:rFonts w:cs="Arial"/>
                <w:bCs/>
                <w:sz w:val="14"/>
                <w:szCs w:val="14"/>
              </w:rPr>
              <w:t>1) регистрация физического лица в качестве индивидуального предпринимателя – 800 руб.;</w:t>
            </w:r>
          </w:p>
          <w:p>
            <w:pPr>
              <w:pStyle w:val="Normal"/>
              <w:spacing w:lineRule="auto" w:line="240" w:before="0" w:after="0"/>
              <w:rPr>
                <w:rStyle w:val="Description"/>
                <w:sz w:val="16"/>
              </w:rPr>
            </w:pPr>
            <w:r>
              <w:rPr>
                <w:rStyle w:val="Description"/>
                <w:rFonts w:cs="Arial"/>
                <w:sz w:val="14"/>
                <w:szCs w:val="14"/>
              </w:rPr>
              <w:t>2)</w:t>
            </w:r>
            <w:r>
              <w:rPr>
                <w:rStyle w:val="Description"/>
                <w:sz w:val="14"/>
                <w:szCs w:val="14"/>
              </w:rPr>
              <w:t xml:space="preserve"> регистрация юридического лица, регистрации юридического лица, создаваемого путем реорганизации (преобразования, слияния, разделения, выделения) – 4000 руб.;</w:t>
            </w:r>
          </w:p>
          <w:p>
            <w:pPr>
              <w:pStyle w:val="Normal"/>
              <w:spacing w:lineRule="auto" w:line="240" w:before="0" w:after="0"/>
              <w:rPr>
                <w:rStyle w:val="Blk"/>
                <w:sz w:val="16"/>
              </w:rPr>
            </w:pPr>
            <w:r>
              <w:rPr>
                <w:rStyle w:val="Description"/>
                <w:sz w:val="14"/>
                <w:szCs w:val="14"/>
              </w:rPr>
              <w:t xml:space="preserve">3) </w:t>
            </w:r>
            <w:r>
              <w:rPr>
                <w:rStyle w:val="Blk"/>
                <w:sz w:val="14"/>
                <w:szCs w:val="14"/>
              </w:rPr>
              <w:t>регистрация политической партии, а также каждого регионального отделения политической партии – 3500 руб.;</w:t>
            </w:r>
          </w:p>
          <w:p>
            <w:pPr>
              <w:pStyle w:val="Normal"/>
              <w:spacing w:lineRule="auto" w:line="240" w:before="0" w:after="0"/>
              <w:rPr>
                <w:rStyle w:val="Blk"/>
                <w:sz w:val="16"/>
              </w:rPr>
            </w:pPr>
            <w:r>
              <w:rPr>
                <w:rStyle w:val="Blk"/>
                <w:sz w:val="14"/>
                <w:szCs w:val="14"/>
              </w:rPr>
              <w:t>4) регистрация общероссийских общественных организаций инвалидов и отделений, являющихся их структурными подразделениями, - 1400 руб.;</w:t>
            </w:r>
          </w:p>
          <w:p>
            <w:pPr>
              <w:pStyle w:val="Normal"/>
              <w:spacing w:lineRule="auto" w:line="240" w:before="0" w:after="0"/>
              <w:rPr>
                <w:rStyle w:val="Blk"/>
                <w:sz w:val="16"/>
              </w:rPr>
            </w:pPr>
            <w:r>
              <w:rPr>
                <w:rStyle w:val="Blk"/>
                <w:sz w:val="14"/>
                <w:szCs w:val="14"/>
              </w:rPr>
              <w:t>5) регистрация изменений, вносимых в учредительные документы юридического лица – 800 руб.;</w:t>
            </w:r>
          </w:p>
          <w:p>
            <w:pPr>
              <w:pStyle w:val="Normal"/>
              <w:spacing w:lineRule="auto" w:line="240" w:before="0" w:after="0"/>
              <w:rPr>
                <w:rStyle w:val="Description"/>
                <w:sz w:val="16"/>
              </w:rPr>
            </w:pPr>
            <w:r>
              <w:rPr>
                <w:rStyle w:val="Blk"/>
                <w:sz w:val="14"/>
                <w:szCs w:val="14"/>
              </w:rPr>
              <w:t>6) регистрация ликвидации юридического лица (за исключением случаев, когда ликвидация юридического лица производится в порядке применения процедуры банкротства) – 800 руб.;</w:t>
            </w:r>
          </w:p>
          <w:p>
            <w:pPr>
              <w:pStyle w:val="Normal"/>
              <w:spacing w:lineRule="auto" w:line="240" w:before="0" w:after="0"/>
              <w:rPr>
                <w:rStyle w:val="Blk"/>
                <w:sz w:val="16"/>
              </w:rPr>
            </w:pPr>
            <w:r>
              <w:rPr>
                <w:rFonts w:cs="Arial"/>
                <w:sz w:val="14"/>
                <w:szCs w:val="14"/>
              </w:rPr>
              <w:t>7)</w:t>
            </w:r>
            <w:r>
              <w:rPr>
                <w:rFonts w:cs="Arial"/>
                <w:b/>
                <w:sz w:val="14"/>
                <w:szCs w:val="14"/>
              </w:rPr>
              <w:t xml:space="preserve"> </w:t>
            </w:r>
            <w:r>
              <w:rPr>
                <w:rStyle w:val="Blk"/>
                <w:sz w:val="14"/>
                <w:szCs w:val="14"/>
              </w:rPr>
              <w:t>прекращении физическим лицом деятельности в качестве индивидуального предпринимателя – 160 руб.;</w:t>
            </w:r>
          </w:p>
          <w:p>
            <w:pPr>
              <w:pStyle w:val="Normal"/>
              <w:spacing w:lineRule="auto" w:line="240" w:before="0" w:after="0"/>
              <w:rPr>
                <w:rStyle w:val="Ep"/>
                <w:sz w:val="16"/>
              </w:rPr>
            </w:pPr>
            <w:r>
              <w:rPr>
                <w:rStyle w:val="Blk"/>
                <w:sz w:val="14"/>
                <w:szCs w:val="14"/>
              </w:rPr>
              <w:t xml:space="preserve">8) прекращение </w:t>
            </w:r>
            <w:r>
              <w:rPr>
                <w:rStyle w:val="Ep"/>
                <w:sz w:val="14"/>
                <w:szCs w:val="14"/>
              </w:rPr>
              <w:t>крестьянского</w:t>
            </w:r>
            <w:r>
              <w:rPr>
                <w:rStyle w:val="Blk"/>
                <w:sz w:val="14"/>
                <w:szCs w:val="14"/>
              </w:rPr>
              <w:t xml:space="preserve"> (</w:t>
            </w:r>
            <w:r>
              <w:rPr>
                <w:rStyle w:val="Ep"/>
                <w:sz w:val="14"/>
                <w:szCs w:val="14"/>
              </w:rPr>
              <w:t>фермерского</w:t>
            </w:r>
            <w:r>
              <w:rPr>
                <w:rStyle w:val="Blk"/>
                <w:sz w:val="14"/>
                <w:szCs w:val="14"/>
              </w:rPr>
              <w:t xml:space="preserve">) </w:t>
            </w:r>
            <w:r>
              <w:rPr>
                <w:rStyle w:val="Ep"/>
                <w:sz w:val="14"/>
                <w:szCs w:val="14"/>
              </w:rPr>
              <w:t>хозяйства – 160 руб.;</w:t>
            </w:r>
          </w:p>
          <w:p>
            <w:pPr>
              <w:pStyle w:val="Normal"/>
              <w:spacing w:lineRule="auto" w:line="240" w:before="0" w:after="0"/>
              <w:rPr>
                <w:rStyle w:val="Blk"/>
                <w:sz w:val="16"/>
              </w:rPr>
            </w:pPr>
            <w:r>
              <w:rPr>
                <w:rStyle w:val="Ep"/>
                <w:sz w:val="14"/>
                <w:szCs w:val="14"/>
              </w:rPr>
              <w:t xml:space="preserve">9) </w:t>
            </w:r>
            <w:r>
              <w:rPr>
                <w:rStyle w:val="Blk"/>
                <w:sz w:val="14"/>
                <w:szCs w:val="14"/>
              </w:rPr>
              <w:t>повторная выдача свидетельства о государственной регистрации физического лица в качестве индивидуального предпринимателя – 160 руб.;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  <w:sz w:val="16"/>
              </w:rPr>
            </w:pPr>
            <w:r>
              <w:rPr>
                <w:rStyle w:val="Blk"/>
                <w:sz w:val="14"/>
                <w:szCs w:val="14"/>
              </w:rPr>
              <w:t>10) повторная выдача свидетельства о государственной регистрации юридического лица – 800 руб.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1) передача документов из МФЦ в Орган - 3 рабочих дня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2) решение Органа: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436" w:hanging="360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регистрация юридических лиц, физических лиц в качестве индивидуальных предпринимателей и крестьянских (фермерских) хозяйств – 5 рабочих дней;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436" w:hanging="360"/>
              <w:rPr>
                <w:rStyle w:val="Blk"/>
                <w:rFonts w:cs="Arial"/>
              </w:rPr>
            </w:pPr>
            <w:r>
              <w:rPr>
                <w:rStyle w:val="Blk"/>
                <w:sz w:val="14"/>
                <w:szCs w:val="14"/>
              </w:rPr>
              <w:t>внесение записи о начале процедуры реорганизации юридического лица (юридических лиц) – 3 рабочих дня;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436" w:hanging="360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решения об отказе – 5 рабочих дней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3) передача результатов из Органа в МФЦ – 1 рабочий день</w:t>
            </w:r>
          </w:p>
          <w:p>
            <w:pPr>
              <w:pStyle w:val="Normal"/>
              <w:spacing w:lineRule="auto" w:line="240" w:before="0" w:after="0"/>
              <w:ind w:left="76" w:hanging="0"/>
              <w:rPr>
                <w:rFonts w:cs="Arial"/>
                <w:b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</w:r>
          </w:p>
        </w:tc>
      </w:tr>
      <w:tr>
        <w:trPr>
          <w:trHeight w:val="496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n-US"/>
              </w:rPr>
            </w:pPr>
            <w:r>
              <w:rPr>
                <w:rFonts w:ascii="8,5" w:hAnsi="8,5"/>
                <w:sz w:val="14"/>
                <w:szCs w:val="14"/>
                <w:lang w:val="en-US"/>
              </w:rPr>
              <w:t>2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Предоставление сведений, содержащихся в реестре дисквалифицированных лиц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в отношении себя – бесплатно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по запросам иных заинтересованных лиц – плата 100 руб.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1) передача документов в электронной форме из МФЦ в Орган - 1 рабочий день;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sz w:val="14"/>
                <w:szCs w:val="14"/>
              </w:rPr>
              <w:t xml:space="preserve">2) </w:t>
            </w:r>
            <w:r>
              <w:rPr>
                <w:rFonts w:cs="Arial"/>
                <w:sz w:val="14"/>
                <w:szCs w:val="14"/>
              </w:rPr>
              <w:t>срок оказания услуги – 5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</w:r>
          </w:p>
        </w:tc>
      </w:tr>
      <w:tr>
        <w:trPr>
          <w:trHeight w:val="101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n-US"/>
              </w:rPr>
            </w:pPr>
            <w:r>
              <w:rPr>
                <w:rFonts w:ascii="8,5" w:hAnsi="8,5"/>
                <w:sz w:val="14"/>
                <w:szCs w:val="14"/>
                <w:lang w:val="en-US"/>
              </w:rPr>
              <w:t>3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Предоставление сведений, содержащихся в Едином государственном реестре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предоставление сведений – бесплатно;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sz w:val="14"/>
                <w:szCs w:val="14"/>
              </w:rPr>
              <w:t>запрос об идентификационном номере налогоплательщика и коде причины постановки на учет – плата 100 руб.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1) передача документов в электронной форме из МФЦ в Орган - 1 рабочий день;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sz w:val="14"/>
                <w:szCs w:val="14"/>
              </w:rPr>
              <w:t xml:space="preserve">2) </w:t>
            </w:r>
            <w:r>
              <w:rPr>
                <w:rFonts w:cs="Arial"/>
                <w:sz w:val="14"/>
                <w:szCs w:val="14"/>
              </w:rPr>
              <w:t>срок оказания услуги – 5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</w:r>
          </w:p>
        </w:tc>
      </w:tr>
      <w:tr>
        <w:trPr>
          <w:trHeight w:val="850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n-US"/>
              </w:rPr>
            </w:pPr>
            <w:r>
              <w:rPr>
                <w:rFonts w:ascii="8,5" w:hAnsi="8,5"/>
                <w:sz w:val="14"/>
                <w:szCs w:val="14"/>
                <w:lang w:val="en-US"/>
              </w:rPr>
              <w:t>4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Предоставление сведений,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3"/>
                <w:szCs w:val="23"/>
              </w:rPr>
            </w:pPr>
            <w:r>
              <w:rPr>
                <w:sz w:val="14"/>
                <w:szCs w:val="14"/>
              </w:rPr>
              <w:t>плата 200 руб.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1) передача документов в электронной форме из МФЦ в Орган - 1 рабочий день;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sz w:val="14"/>
                <w:szCs w:val="14"/>
              </w:rPr>
              <w:t xml:space="preserve">2) </w:t>
            </w:r>
            <w:r>
              <w:rPr>
                <w:rFonts w:cs="Arial"/>
                <w:sz w:val="14"/>
                <w:szCs w:val="14"/>
              </w:rPr>
              <w:t>срок оказания услуги – 5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</w:r>
          </w:p>
        </w:tc>
      </w:tr>
      <w:tr>
        <w:trPr>
          <w:trHeight w:val="1980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n-US"/>
              </w:rPr>
            </w:pPr>
            <w:r>
              <w:rPr>
                <w:rFonts w:ascii="8,5" w:hAnsi="8,5"/>
                <w:sz w:val="14"/>
                <w:szCs w:val="14"/>
                <w:lang w:val="en-US"/>
              </w:rPr>
              <w:t>5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 (в части приема запроса и выдачи справки об исполнении налогоплательщиком (плательщиком сборов, налоговым агентом) обязанности по уплате налогов, сборов, пеней, штрафов, процентов)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Cs w:val="23"/>
              </w:rPr>
            </w:pPr>
            <w:r>
              <w:rPr>
                <w:sz w:val="14"/>
                <w:szCs w:val="14"/>
              </w:rPr>
              <w:t>Публичное информирование:</w:t>
            </w:r>
          </w:p>
          <w:p>
            <w:pPr>
              <w:pStyle w:val="Normal"/>
              <w:spacing w:lineRule="auto" w:line="240" w:before="0" w:after="0"/>
              <w:rPr>
                <w:szCs w:val="23"/>
              </w:rPr>
            </w:pPr>
            <w:r>
              <w:rPr>
                <w:sz w:val="14"/>
                <w:szCs w:val="14"/>
              </w:rPr>
              <w:t>1) получение информации из Органа – 3 рабочих дня со дня получения подписанной начальником (заместителем начальника) информации;</w:t>
            </w:r>
          </w:p>
          <w:p>
            <w:pPr>
              <w:pStyle w:val="Normal"/>
              <w:spacing w:lineRule="auto" w:line="240" w:before="0" w:after="0"/>
              <w:rPr>
                <w:szCs w:val="23"/>
              </w:rPr>
            </w:pPr>
            <w:r>
              <w:rPr>
                <w:sz w:val="14"/>
                <w:szCs w:val="14"/>
              </w:rPr>
              <w:t xml:space="preserve">2) размещение информации в МФЦ - 3 рабочих дня </w:t>
            </w:r>
          </w:p>
          <w:p>
            <w:pPr>
              <w:pStyle w:val="Normal"/>
              <w:spacing w:lineRule="auto" w:line="240" w:before="0" w:after="0"/>
              <w:rPr>
                <w:szCs w:val="23"/>
              </w:rPr>
            </w:pPr>
            <w:r>
              <w:rPr>
                <w:sz w:val="14"/>
                <w:szCs w:val="14"/>
              </w:rPr>
              <w:t>Индивидуальное информирование: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14"/>
                <w:szCs w:val="14"/>
              </w:rPr>
              <w:t>1) передача документов в электронной форме из МФЦ в Орган - 1 рабочий день;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14"/>
                <w:szCs w:val="14"/>
              </w:rPr>
              <w:t>2) срок оказания услуги – 30 календарных дней (при продлении - 60 календарных дней)</w:t>
            </w:r>
          </w:p>
          <w:p>
            <w:pPr>
              <w:pStyle w:val="Normal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609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FF9999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n-US"/>
              </w:rPr>
            </w:pPr>
            <w:r>
              <w:rPr>
                <w:rFonts w:cs="Arial" w:ascii="8,5" w:hAnsi="8,5"/>
                <w:color w:val="553340"/>
                <w:sz w:val="14"/>
                <w:szCs w:val="14"/>
                <w:lang w:val="en-US"/>
              </w:rPr>
              <w:t>6</w:t>
            </w:r>
          </w:p>
        </w:tc>
        <w:tc>
          <w:tcPr>
            <w:tcW w:w="4929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FF9999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rFonts w:cs="Arial"/>
                <w:color w:val="553340"/>
                <w:sz w:val="14"/>
                <w:szCs w:val="14"/>
              </w:rPr>
              <w:t>Предоставление сведений, содержащихся в государственном адресном реестре</w:t>
            </w:r>
          </w:p>
        </w:tc>
        <w:tc>
          <w:tcPr>
            <w:tcW w:w="1810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FF9999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rFonts w:cs="Arial"/>
                <w:color w:val="553340"/>
                <w:sz w:val="14"/>
                <w:szCs w:val="14"/>
              </w:rPr>
              <w:t>Плата - 115 рублей</w:t>
            </w:r>
          </w:p>
        </w:tc>
        <w:tc>
          <w:tcPr>
            <w:tcW w:w="3898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FF9999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7"/>
                <w:szCs w:val="17"/>
              </w:rPr>
            </w:pPr>
            <w:r>
              <w:rPr>
                <w:rFonts w:cs="Arial"/>
                <w:color w:val="553340"/>
                <w:sz w:val="14"/>
                <w:szCs w:val="14"/>
              </w:rPr>
              <w:t>передача документов в электронной форме из МФЦ в Орган - 1 рабочий день;</w:t>
            </w:r>
          </w:p>
          <w:p>
            <w:pPr>
              <w:pStyle w:val="Normal"/>
              <w:spacing w:lineRule="auto" w:line="240" w:before="0" w:after="0"/>
              <w:rPr>
                <w:sz w:val="17"/>
                <w:szCs w:val="17"/>
              </w:rPr>
            </w:pPr>
            <w:r>
              <w:rPr>
                <w:rFonts w:cs="Arial"/>
                <w:color w:val="553340"/>
                <w:sz w:val="14"/>
                <w:szCs w:val="14"/>
              </w:rPr>
              <w:t xml:space="preserve"> </w:t>
            </w:r>
            <w:r>
              <w:rPr>
                <w:rFonts w:cs="Arial"/>
                <w:color w:val="553340"/>
                <w:sz w:val="14"/>
                <w:szCs w:val="14"/>
              </w:rPr>
              <w:t>срок оказания услуги – 5 рабочих дней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  <w:color w:val="553340"/>
                <w:sz w:val="14"/>
                <w:szCs w:val="14"/>
              </w:rPr>
            </w:pPr>
            <w:r>
              <w:rPr>
                <w:rFonts w:cs="Arial"/>
                <w:color w:val="553340"/>
                <w:sz w:val="14"/>
                <w:szCs w:val="14"/>
              </w:rPr>
            </w:r>
          </w:p>
        </w:tc>
      </w:tr>
      <w:tr>
        <w:trPr>
          <w:trHeight w:val="284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8,5" w:hAnsi="8,5"/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</w:r>
          </w:p>
        </w:tc>
        <w:tc>
          <w:tcPr>
            <w:tcW w:w="10637" w:type="dxa"/>
            <w:gridSpan w:val="3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  <w:sz w:val="14"/>
                <w:szCs w:val="14"/>
              </w:rPr>
              <w:t>МВД России</w:t>
            </w:r>
          </w:p>
        </w:tc>
      </w:tr>
      <w:tr>
        <w:trPr>
          <w:trHeight w:val="699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n-US"/>
              </w:rPr>
            </w:pPr>
            <w:r>
              <w:rPr>
                <w:rFonts w:ascii="8,5" w:hAnsi="8,5"/>
                <w:sz w:val="14"/>
                <w:szCs w:val="14"/>
                <w:lang w:val="en-US"/>
              </w:rPr>
              <w:t>7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Предоставление сведений об административных правонарушениях в области дорожного движения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в день обращения</w:t>
            </w:r>
          </w:p>
        </w:tc>
      </w:tr>
      <w:tr>
        <w:trPr>
          <w:trHeight w:val="247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8,5" w:hAnsi="8,5"/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</w:r>
          </w:p>
        </w:tc>
        <w:tc>
          <w:tcPr>
            <w:tcW w:w="1063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  <w:sz w:val="14"/>
                <w:szCs w:val="14"/>
              </w:rPr>
              <w:t>Росреестр</w:t>
            </w:r>
          </w:p>
        </w:tc>
      </w:tr>
      <w:tr>
        <w:trPr>
          <w:trHeight w:val="1095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</w:t>
            </w:r>
            <w:r>
              <w:rPr>
                <w:rFonts w:ascii="8,5" w:hAnsi="8,5"/>
                <w:sz w:val="14"/>
                <w:szCs w:val="14"/>
                <w:lang w:val="en-US"/>
              </w:rPr>
              <w:t>6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sz w:val="14"/>
                <w:szCs w:val="14"/>
                <w:lang w:val="en-US"/>
              </w:rPr>
            </w:pPr>
            <w:r>
              <w:rPr>
                <w:rFonts w:cs="Arial"/>
                <w:sz w:val="14"/>
                <w:szCs w:val="14"/>
                <w:lang w:val="en-US" w:eastAsia="ru-RU"/>
              </w:rPr>
              <w:t>Государственный кадастровый учет недвижимого имущества и (или) государственная регистрация прав на недвижимое имущество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Arial"/>
                <w:sz w:val="14"/>
                <w:szCs w:val="14"/>
                <w:lang w:val="en-US" w:eastAsia="ru-RU"/>
              </w:rPr>
            </w:pPr>
            <w:r>
              <w:rPr>
                <w:rFonts w:cs="Arial"/>
                <w:sz w:val="14"/>
                <w:szCs w:val="14"/>
                <w:lang w:val="en-US" w:eastAsia="ru-RU"/>
              </w:rPr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cs="Arial"/>
                <w:sz w:val="14"/>
                <w:szCs w:val="14"/>
                <w:lang w:val="en-US" w:eastAsia="ru-RU"/>
              </w:rPr>
              <w:t>пошлина: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cs="Arial"/>
                <w:sz w:val="14"/>
                <w:szCs w:val="14"/>
                <w:lang w:val="en-US" w:eastAsia="ru-RU"/>
              </w:rPr>
              <w:t>от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cs="Arial"/>
                <w:sz w:val="14"/>
                <w:szCs w:val="14"/>
                <w:lang w:val="en-US" w:eastAsia="ru-RU"/>
              </w:rPr>
              <w:t>350 рублей (земельные участки)  2 000 рублей (здания, сооружения) до 22 000 рублей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4"/>
                <w:szCs w:val="14"/>
                <w:lang w:val="en-US"/>
              </w:rPr>
            </w:pPr>
            <w:r>
              <w:rPr>
                <w:rFonts w:cs="Arial"/>
                <w:sz w:val="14"/>
                <w:szCs w:val="14"/>
                <w:lang w:val="en-US"/>
              </w:rPr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left" w:pos="250" w:leader="none"/>
              </w:tabs>
              <w:spacing w:lineRule="auto" w:line="240" w:before="0" w:after="0"/>
              <w:ind w:left="10" w:hanging="1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государственная регистрация ограничений (обременений) прав – 5 рабочих дней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265" w:leader="none"/>
              </w:tabs>
              <w:spacing w:lineRule="auto" w:line="240" w:before="0" w:after="0"/>
              <w:ind w:left="10" w:hanging="1"/>
              <w:rPr>
                <w:sz w:val="14"/>
                <w:szCs w:val="14"/>
                <w:lang w:val="en-US"/>
              </w:rPr>
            </w:pPr>
            <w:r>
              <w:rPr>
                <w:rFonts w:cs="Arial"/>
                <w:sz w:val="14"/>
                <w:szCs w:val="14"/>
                <w:lang w:val="en-US"/>
              </w:rPr>
              <w:t>государственная регистрация ипотеки земельных участков, зданий, сооружений, нежилых помещений – 15 рабочих дней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310" w:leader="none"/>
              </w:tabs>
              <w:spacing w:lineRule="auto" w:line="240" w:before="0" w:after="0"/>
              <w:ind w:left="10" w:hanging="1"/>
              <w:rPr>
                <w:sz w:val="14"/>
                <w:szCs w:val="14"/>
                <w:lang w:val="en-US"/>
              </w:rPr>
            </w:pPr>
            <w:r>
              <w:rPr>
                <w:rFonts w:cs="Arial"/>
                <w:sz w:val="14"/>
                <w:szCs w:val="14"/>
                <w:lang w:val="en-US"/>
              </w:rPr>
              <w:t>государственная регистрация ипотеки жилых помещений – 5 рабочих дней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280" w:leader="none"/>
              </w:tabs>
              <w:spacing w:lineRule="auto" w:line="240" w:before="0" w:after="0"/>
              <w:ind w:left="10" w:hanging="1"/>
              <w:rPr>
                <w:sz w:val="14"/>
                <w:szCs w:val="14"/>
                <w:lang w:val="en-US"/>
              </w:rPr>
            </w:pPr>
            <w:r>
              <w:rPr>
                <w:rFonts w:eastAsia="Times New Roman" w:cs="Arial"/>
                <w:sz w:val="14"/>
                <w:szCs w:val="14"/>
                <w:lang w:val="en-US" w:eastAsia="ru-RU"/>
              </w:rPr>
              <w:t>государственная регистрация прав на основании нотариально удостоверенных документов – 5 рабочих дней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280" w:leader="none"/>
              </w:tabs>
              <w:spacing w:lineRule="auto" w:line="240" w:before="0" w:after="0"/>
              <w:ind w:left="10" w:hanging="1"/>
              <w:rPr>
                <w:sz w:val="14"/>
                <w:szCs w:val="14"/>
                <w:lang w:val="en-US"/>
              </w:rPr>
            </w:pPr>
            <w:r>
              <w:rPr>
                <w:rFonts w:eastAsia="Times New Roman" w:cs="Arial"/>
                <w:sz w:val="14"/>
                <w:szCs w:val="14"/>
                <w:lang w:val="en-US" w:eastAsia="ru-RU"/>
              </w:rPr>
              <w:t>государственная регистрация прав на земельный участок и ограничений (обременений) этих прав проводится в сроки, предусмотренные для государственной регистрации прав на расположенные на этом земельном участке здания, строения или сооружения и ограничений (обременений) этих прав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280" w:leader="none"/>
              </w:tabs>
              <w:spacing w:lineRule="auto" w:line="240" w:before="0" w:afterAutospacing="1"/>
              <w:ind w:left="10" w:hanging="1"/>
              <w:rPr>
                <w:sz w:val="14"/>
                <w:szCs w:val="14"/>
                <w:lang w:val="en-US"/>
              </w:rPr>
            </w:pPr>
            <w:r>
              <w:rPr>
                <w:rFonts w:cs="Arial"/>
                <w:sz w:val="14"/>
                <w:szCs w:val="14"/>
                <w:lang w:val="en-US"/>
              </w:rPr>
              <w:t>государственная регистрация прав на основании нотариально удостоверенных документов, представленных в форме электронных документов, электронных образов документов и поданного нотариусом в электронной форме заявления о государственной регистрации прав – 3 рабочих дня</w:t>
            </w:r>
          </w:p>
        </w:tc>
      </w:tr>
      <w:tr>
        <w:trPr>
          <w:trHeight w:val="261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</w:t>
            </w:r>
            <w:r>
              <w:rPr>
                <w:rFonts w:ascii="8,5" w:hAnsi="8,5"/>
                <w:sz w:val="14"/>
                <w:szCs w:val="14"/>
                <w:lang w:val="en-US"/>
              </w:rPr>
              <w:t>7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  <w:lang w:eastAsia="ru-RU"/>
              </w:rPr>
              <w:t>Предоставление сведений, содержащихся в Едином государственном реестре недвижимости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4"/>
                <w:szCs w:val="14"/>
                <w:lang w:eastAsia="ru-RU"/>
              </w:rPr>
              <w:t>на объект-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4"/>
                <w:szCs w:val="14"/>
                <w:lang w:eastAsia="ru-RU"/>
              </w:rPr>
              <w:t>400 рублей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4"/>
                <w:szCs w:val="14"/>
                <w:lang w:eastAsia="ru-RU"/>
              </w:rPr>
              <w:t>на физическое лицо-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4"/>
                <w:szCs w:val="14"/>
                <w:lang w:eastAsia="ru-RU"/>
              </w:rPr>
              <w:t>по территории РФ 1800 рублей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4"/>
                <w:szCs w:val="14"/>
                <w:lang w:eastAsia="ru-RU"/>
              </w:rPr>
              <w:t>на юридическое лицо-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  <w:lang w:eastAsia="ru-RU"/>
              </w:rPr>
              <w:t>1100 рублей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 xml:space="preserve">Срок оказания услуги- </w:t>
            </w:r>
            <w:r>
              <w:rPr>
                <w:rFonts w:cs="Arial"/>
                <w:sz w:val="14"/>
                <w:szCs w:val="14"/>
                <w:lang w:val="en-US"/>
              </w:rPr>
              <w:t>5</w:t>
            </w:r>
            <w:r>
              <w:rPr>
                <w:rFonts w:cs="Arial"/>
                <w:sz w:val="14"/>
                <w:szCs w:val="14"/>
              </w:rPr>
              <w:t xml:space="preserve"> рабочих дней</w:t>
            </w:r>
          </w:p>
        </w:tc>
      </w:tr>
      <w:tr>
        <w:trPr>
          <w:trHeight w:val="307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8,5" w:hAnsi="8,5"/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</w:r>
          </w:p>
        </w:tc>
        <w:tc>
          <w:tcPr>
            <w:tcW w:w="1063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  <w:sz w:val="14"/>
                <w:szCs w:val="14"/>
              </w:rPr>
              <w:t>Росимущество</w:t>
            </w:r>
          </w:p>
        </w:tc>
      </w:tr>
      <w:tr>
        <w:trPr>
          <w:trHeight w:val="552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18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Осуществление в установленном порядке выдачи выписок из реестра федерального имущества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6"/>
                <w:szCs w:val="17"/>
              </w:rPr>
            </w:pPr>
            <w:r>
              <w:rPr>
                <w:rFonts w:cs="Arial"/>
                <w:sz w:val="14"/>
                <w:szCs w:val="14"/>
              </w:rPr>
              <w:t xml:space="preserve">Бесплатно предоставляется следующим категориям Заявителей: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6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правообладателям в отношении принадлежащего им федерального имущества (не чаще одного раза в год);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6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органам государственной власти Российской Федерации, в том числе Конституционному Суду Российской Федерации, Верховному Суду Российской Федерации, Высшему Арбитражному Суду Российской Федерации, а также Генеральной прокуратуре Российской Федерации и Счетной палате Российской Федерации;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6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полномочным представителям Президента Российской Федерации в федеральных округах, территориальным органам федеральных органов исполнительной власти, органам государственной власти субъектов Российской Федерации, судам, правоохранительным органам, органам, осуществляющим государственную регистрацию прав на недвижимое имущество и сделок с ним, органам местного самоуправления.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6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Иным юридическим и физическим лицам, а также правообладателям в отношении принадлежащего им имущества, информация о котором была предоставлена бесплатно, более одного раза в год, осуществляется за плату.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6"/>
                <w:szCs w:val="17"/>
              </w:rPr>
            </w:pPr>
            <w:r>
              <w:rPr>
                <w:rFonts w:cs="Arial"/>
                <w:sz w:val="14"/>
                <w:szCs w:val="14"/>
              </w:rPr>
              <w:t xml:space="preserve">Стоимость – 200 рублей.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6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Расчет оплаты при предоставлении государственной услуги: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6"/>
                <w:szCs w:val="17"/>
              </w:rPr>
            </w:pPr>
            <w:r>
              <w:rPr>
                <w:rFonts w:cs="Arial"/>
                <w:sz w:val="14"/>
                <w:szCs w:val="14"/>
                <w:lang w:val="en-US"/>
              </w:rPr>
              <w:t>Q</w:t>
            </w:r>
            <w:r>
              <w:rPr>
                <w:rFonts w:cs="Arial"/>
                <w:sz w:val="14"/>
                <w:szCs w:val="14"/>
              </w:rPr>
              <w:t xml:space="preserve"> (руб.) = </w:t>
            </w:r>
            <w:r>
              <w:rPr>
                <w:rFonts w:cs="Arial"/>
                <w:sz w:val="14"/>
                <w:szCs w:val="14"/>
                <w:lang w:val="en-US"/>
              </w:rPr>
              <w:t>N</w:t>
            </w:r>
            <w:r>
              <w:rPr>
                <w:rFonts w:cs="Arial"/>
                <w:sz w:val="14"/>
                <w:szCs w:val="14"/>
              </w:rPr>
              <w:t xml:space="preserve"> (шт.) </w:t>
            </w:r>
            <w:r>
              <w:rPr>
                <w:rFonts w:cs="Arial"/>
                <w:sz w:val="14"/>
                <w:szCs w:val="14"/>
                <w:lang w:val="en-US"/>
              </w:rPr>
              <w:t>x</w:t>
            </w:r>
            <w:r>
              <w:rPr>
                <w:rFonts w:cs="Arial"/>
                <w:sz w:val="14"/>
                <w:szCs w:val="14"/>
              </w:rPr>
              <w:t xml:space="preserve"> 200 (руб.),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6"/>
                <w:szCs w:val="17"/>
              </w:rPr>
            </w:pPr>
            <w:r>
              <w:rPr>
                <w:rFonts w:cs="Arial"/>
                <w:sz w:val="14"/>
                <w:szCs w:val="14"/>
              </w:rPr>
              <w:t xml:space="preserve">где: </w:t>
            </w:r>
            <w:r>
              <w:rPr>
                <w:rFonts w:cs="Arial"/>
                <w:sz w:val="14"/>
                <w:szCs w:val="14"/>
                <w:lang w:val="en-US"/>
              </w:rPr>
              <w:t>Q</w:t>
            </w:r>
            <w:r>
              <w:rPr>
                <w:rFonts w:cs="Arial"/>
                <w:sz w:val="14"/>
                <w:szCs w:val="14"/>
              </w:rPr>
              <w:t xml:space="preserve"> - стоимость платы за предоставление государственной услуги;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6"/>
                <w:szCs w:val="17"/>
              </w:rPr>
            </w:pPr>
            <w:r>
              <w:rPr>
                <w:rFonts w:cs="Arial"/>
                <w:sz w:val="14"/>
                <w:szCs w:val="14"/>
              </w:rPr>
              <w:t xml:space="preserve">        </w:t>
            </w:r>
            <w:r>
              <w:rPr>
                <w:rFonts w:cs="Arial"/>
                <w:sz w:val="14"/>
                <w:szCs w:val="14"/>
                <w:lang w:val="en-US"/>
              </w:rPr>
              <w:t>N</w:t>
            </w:r>
            <w:r>
              <w:rPr>
                <w:rFonts w:cs="Arial"/>
                <w:sz w:val="14"/>
                <w:szCs w:val="14"/>
              </w:rPr>
              <w:t xml:space="preserve"> - количество объектов учета, по которым запрашивается информация в виде выписок из реестра, и/или количество объектов учета, информация по которым подлежит обобщению (в случае запроса обобщенной информации).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6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Плата за информацию об отсутствии в реестре сведений об имуществе, которое не учтено в реестре, не взимается.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10 календарных дней</w:t>
            </w:r>
          </w:p>
        </w:tc>
      </w:tr>
      <w:tr>
        <w:trPr>
          <w:trHeight w:val="21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FFFFF" w:themeFill="background1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8,5" w:hAnsi="8,5"/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</w:r>
          </w:p>
        </w:tc>
        <w:tc>
          <w:tcPr>
            <w:tcW w:w="1063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FFFFF" w:themeFill="background1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  <w:sz w:val="14"/>
                <w:szCs w:val="14"/>
              </w:rPr>
              <w:t>Роспотребнадзор</w:t>
            </w:r>
          </w:p>
        </w:tc>
      </w:tr>
      <w:tr>
        <w:trPr>
          <w:trHeight w:val="1118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19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Осуществление приема и учета уведомлений о начале осуществления юридическими лицами и индивидуальными предпринимателями отдельных видов работ и услуг, указанных в перечне, предусмотренном постановлением Правительства Российской Федерации от 16 июля 2009 г. N 584 "Об уведомительном порядке начала осуществления отдельных видов предпринимательской деятельности"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передача документов из МФЦ в Орган - 2 рабочих дня</w:t>
            </w:r>
          </w:p>
        </w:tc>
      </w:tr>
      <w:tr>
        <w:trPr>
          <w:trHeight w:val="378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ListParagraph"/>
              <w:spacing w:lineRule="auto" w:line="240" w:before="0" w:after="0"/>
              <w:ind w:left="1080" w:hanging="0"/>
              <w:jc w:val="both"/>
              <w:rPr>
                <w:rFonts w:ascii="8,5" w:hAnsi="8,5" w:cs="Arial"/>
                <w:color w:val="553340"/>
                <w:sz w:val="14"/>
                <w:szCs w:val="14"/>
              </w:rPr>
            </w:pPr>
            <w:r>
              <w:rPr>
                <w:rFonts w:cs="Arial" w:ascii="8,5" w:hAnsi="8,5"/>
                <w:color w:val="553340"/>
                <w:sz w:val="14"/>
                <w:szCs w:val="14"/>
              </w:rPr>
            </w:r>
          </w:p>
        </w:tc>
        <w:tc>
          <w:tcPr>
            <w:tcW w:w="10637" w:type="dxa"/>
            <w:gridSpan w:val="3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Style26"/>
              <w:spacing w:lineRule="auto" w:line="240"/>
              <w:jc w:val="center"/>
              <w:rPr>
                <w:b/>
                <w:b/>
                <w:sz w:val="17"/>
                <w:szCs w:val="17"/>
              </w:rPr>
            </w:pPr>
            <w:r>
              <w:rPr>
                <w:rFonts w:cs="Arial" w:ascii="Arial" w:hAnsi="Arial"/>
                <w:b/>
                <w:color w:val="4A442A" w:themeColor="background2" w:themeShade="40"/>
                <w:sz w:val="14"/>
                <w:szCs w:val="14"/>
              </w:rPr>
              <w:t>Управление Федеральной службы судебных приставов по Ростовской области</w:t>
            </w:r>
          </w:p>
        </w:tc>
      </w:tr>
      <w:tr>
        <w:trPr>
          <w:trHeight w:val="828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cs="Arial" w:ascii="8,5" w:hAnsi="8,5"/>
                <w:color w:val="553340"/>
                <w:sz w:val="14"/>
                <w:szCs w:val="14"/>
              </w:rPr>
              <w:t>38</w:t>
            </w:r>
          </w:p>
        </w:tc>
        <w:tc>
          <w:tcPr>
            <w:tcW w:w="4929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Предоставление информации по находящимся на исполнении исполнительным производствам в отношении физического и юридического лица</w:t>
            </w:r>
          </w:p>
        </w:tc>
        <w:tc>
          <w:tcPr>
            <w:tcW w:w="1810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rFonts w:cs="Arial"/>
                <w:color w:val="4A442A" w:themeColor="background2" w:themeShade="40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Style26"/>
              <w:spacing w:lineRule="auto" w:line="240"/>
              <w:rPr>
                <w:sz w:val="17"/>
                <w:szCs w:val="17"/>
              </w:rPr>
            </w:pPr>
            <w:r>
              <w:rPr>
                <w:rFonts w:cs="Arial" w:ascii="Arial" w:hAnsi="Arial"/>
                <w:color w:val="553340"/>
                <w:sz w:val="14"/>
                <w:szCs w:val="14"/>
              </w:rPr>
              <w:t>срок оказания услуги – 5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8,5" w:hAnsi="8,5"/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</w:r>
          </w:p>
        </w:tc>
        <w:tc>
          <w:tcPr>
            <w:tcW w:w="1063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b/>
                <w:sz w:val="14"/>
                <w:szCs w:val="14"/>
              </w:rPr>
              <w:t>Управление социально-политических коммуникаций Правительства Ростовской области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97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Предоставление субсидии социально ориентированным некоммерческим организациям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75 календарных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8,5" w:hAnsi="8,5"/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</w:r>
          </w:p>
        </w:tc>
        <w:tc>
          <w:tcPr>
            <w:tcW w:w="1063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b/>
                <w:sz w:val="14"/>
                <w:szCs w:val="14"/>
              </w:rPr>
              <w:t>Министерство общего и профессионального образования Ростовской области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101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информации об организации общедоступного и бесплатного начального общего, основного общего, среднего (полного) общего образования, а также дополнительного образования в общеобразовательных и санаторных школах-интернатах, расположенных на территории Ростовской области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24 рабочих дня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102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информации об организации начального, среднего и дополнительного профессионального образования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24 рабочих дня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103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информации о результатах рассмотрения апелляции, поданной в связи с несогласием с выставленными баллами по результатам государственной (итоговой) аттестации в форме единого государственного экзамена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30 календарных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104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информации о порядке проведения государственной (итоговой) аттестации обучающихся, освоивших образовательные программы основного общего и среднего (полного) общего образования, в том числе в форме ЕГЭ, а также информации из базы данных об участниках единого государственного экзамена и о результатах единого государственного экзамена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30 календарных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105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Выдача архивных справок на основании документов, находящихся на хранении в ведомственном архиве министерства общего и профессионального образования Ростовской области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28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8,5" w:hAnsi="8,5"/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</w:r>
          </w:p>
        </w:tc>
        <w:tc>
          <w:tcPr>
            <w:tcW w:w="1063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b/>
                <w:sz w:val="14"/>
                <w:szCs w:val="14"/>
              </w:rPr>
              <w:t>Министерство по физической культуре и спорту Ростовской области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106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Присвоение квалификационных категорий тренерам-преподавателям по спорту и инструкторам-методистам центров спортивной подготовки Ростовской области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30 календарных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8,5" w:hAnsi="8,5"/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</w:r>
          </w:p>
        </w:tc>
        <w:tc>
          <w:tcPr>
            <w:tcW w:w="1063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b/>
                <w:sz w:val="14"/>
                <w:szCs w:val="14"/>
              </w:rPr>
              <w:t>Министерство сельского хозяйства и продовольствия Ростовской области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107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на возмещение части затрат на приобретение сельскохозяйственной техники, произведенной в Ростовской области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35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108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субсидии на возмещение части затрат на инженерное обеспечение территорий садоводческих, огороднических и дачных некоммерческих объединений граждан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20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109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на возмещение части затрат на уплату авансовых и текущих лизинговых платежей при приобретении в лизинг основных средств в части технологического, торгового и холодильного оборудования, транспортных средств, необходимых для закупки, переработки, хранения и сбыта сельскохозяйственной и пищевой продукции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20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110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на возмещение части затрат на уплату процентов по кредитам, полученным в российских кредитных организациях, и займам, полученным в кредитных кооперативах, для последующего предоставления займов своим членам-гражданам, ведущим личное подсобное хозяйство, крестьянским (фермерским) хозяйствам по договорам, заключенным в 2012-2013 годах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30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111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на возмещение части затрат на внедрение инновационных проектов в сфере сельскохозяйственного производства и (или) переработки сельскохозяйственной продукции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30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112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8,5" w:hAnsi="8,5"/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8,5" w:hAnsi="8,5"/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организациям агропромышленного комплекса независимо от их организационно-правовой формы, индивидуальным предпринимателям и организациям потребительской кооперации, осуществляющим деятельность в отраслях пищевой и перерабатывающей промышленности (хлебопекарной, мукомольной, крупяной и плодоовощной консервной), на возмещение части затрат на приобретение технологического и холодильного оборудования, спецавтотранспорта, проведение мероприятий по продвижению продукции и внедрению стандартов качества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20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113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организациям  агропромышленного комплекса независимо от их организационно-правовой формы, индивидуальным предпринимателям и организациям потребительской кооперации, осуществляющим деятельность в отраслях пищевой и перерабатывающей промышленности (мясной, молочной), на возмещение части затрат на приобретение технологического и холодильного оборудования, спецавтотранспорта, проведение мероприятий по продвижению продукции и внедрению стандартов качества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20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114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на возмещение части затрат на уплату страховой премии, начисленной по договору сельскохозяйственного страхования в области растениеводства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15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115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сельскохозяйственным товаропроизводителям (кроме граждан, ведущих личное подсобное хозяйство) на возмещение части затрат на текущий ремонт и планировку оросительных систем, расчистку коллекторно-дренажной сети, приобретение и доставку фосфогипса, приобретение гербицидов, необходимого оборудования и специализированной техники для удаления сорной растительности на мелиоративных каналах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11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116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на возмещение части затрат на закладку и уход за многолетними плодовыми и ягодными насаждениями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20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117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на возмещение части затрат на закладку и уход за виноградниками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20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118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на возмещение части затрат на раскорчевку выбывших из эксплуатации старых садов и рекультивацию раскорчеванных площадей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20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119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на возмещение части затрат на уплату процентов по инвестиционным кредитам и займам, полученным в российских кредитных организациях и сельскохозяйственных кредитных потребительских кооперативах на срок от 2 до 15 лет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 xml:space="preserve">При обращении за прохождением процедуры отбора инвестиционных проектов – 30 календарных дней + 5 рабочих дней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При обращении после прохождения процедуры отбора инвестиционных проектов – 15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120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на возмещение части затрат на уплату процентов по кредитам и займам, полученным в российских кредитных организациях и сельскохозяйственных кредитных потребительских кооперативах, на срок до 1 года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15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121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на возмещение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на срок до 8 лет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15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122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субсидии на возмещение части затрат на приобретение элитных семян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25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123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субсидии на возмещение части затрат на приобретение племенного молодняка крупного рогатого скота молочного направления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22 рабочих дня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124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субсидии на возмещение части затрат на приобретение племенного молодняка крупного рогатого скота мясного направления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22 рабочих дня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125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на возмещение части затрат на содержание племенного маточного поголовья сельскохозяйственных животных кроме крупного рогатого скота мясного направления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22 рабочих дня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126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на возмещение части затрат на содержание племенного маточного поголовья крупного рогатого скота мясного направления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22 рабочих дня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127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сельскохозяйственным товаропроизводителям (кроме граждан, ведущих личное хозяйство) на возмещение части затрат на оплату услуг по подаче воды для орошения и затрат на оплату электроэнергии, потребляемой внутрихозяйственными насосными станциями при подаче воды, для орошения сельскохозяйственных культур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11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128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начинающим фермерам грантов на создание и развитие крестьянского (фермерского) хозяйства и единовременной помощи на их бытовое обустройство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38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129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главам крестьянских (фермерских) хозяйств грантов на развитие семейных животноводческих ферм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30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130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крестьянским (фермерским) хозяйствам, включая индивидуальных предпринимателей, на возмещение части затрат при оформлении в собственность используемых ими земельных участков из земель сельскохозяйственного назначения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20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131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сельскохозяйственным товаропроизводителям (кроме граждан, ведущих личное хозяйство) на возмещение части затрат на строительство, реконструкцию и техническое перевооружение мелиоративных систем общего и индивидуального пользования и отдельно расположенных гидротехнических сооружений, принадлежащих им на праве собственности или переданных им в пользование в установленном порядке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16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132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субсидии сельскохозяйственным товаропроизводителям (кроме граждан, ведущих личное хозяйство) на возмещение части затрат на 1 килограмм реализованного и (или) отгруженного на собственную переработку молока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12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</w:t>
            </w:r>
            <w:r>
              <w:rPr>
                <w:rFonts w:ascii="8,5" w:hAnsi="8,5"/>
                <w:sz w:val="14"/>
                <w:szCs w:val="14"/>
                <w:lang w:val="en-US"/>
              </w:rPr>
              <w:t>33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сельскохозяйственным производителям (кроме граждан, ведущих личное подсобное хозяйство) на возмещение части затрат на выполнение агролесомелиоративных и фитомелиоративных мероприятий.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20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134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сельскохозяйственным товаропроизводителям (кроме граждан, ведущих личное подсобное хозяйство) на возмещение части затрат на 1 тонну произведенного риса.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20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135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сельскохозяйственным товаропроизводителям на возмещение части затрат на оплату услуг по подаче воды электрофицированными насосными станциями на рисовые оросительные системы.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20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bookmarkStart w:id="0" w:name="__DdeLink__104880_74402352"/>
            <w:r>
              <w:rPr>
                <w:rFonts w:ascii="8,5" w:hAnsi="8,5"/>
                <w:sz w:val="14"/>
                <w:szCs w:val="14"/>
              </w:rPr>
              <w:t>1</w:t>
            </w:r>
            <w:bookmarkEnd w:id="0"/>
            <w:r>
              <w:rPr>
                <w:rFonts w:ascii="8,5" w:hAnsi="8,5"/>
                <w:sz w:val="14"/>
                <w:szCs w:val="14"/>
              </w:rPr>
              <w:t>36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индивидуальным предпринимателям, крестьянским (фермерским) хозяйствам и гражданам, ведущим личное подсобное хозяйство, на возмещение части затрат на приобретение альтернативных свиноводству видов животных и птицы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20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137</w:t>
            </w:r>
          </w:p>
        </w:tc>
        <w:tc>
          <w:tcPr>
            <w:tcW w:w="4929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Предоставление субсидий на возмещение части затрат на приобретение оборудования, машин и механизмов для молочного скотоводства</w:t>
            </w:r>
          </w:p>
        </w:tc>
        <w:tc>
          <w:tcPr>
            <w:tcW w:w="1810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20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138</w:t>
            </w:r>
          </w:p>
        </w:tc>
        <w:tc>
          <w:tcPr>
            <w:tcW w:w="4929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Предоставление субсидий на возмещение части затрат на уплату страховой премии, начисленной по договору сельскохозяйственного страхования в области животноводства</w:t>
            </w:r>
          </w:p>
        </w:tc>
        <w:tc>
          <w:tcPr>
            <w:tcW w:w="1810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15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139</w:t>
            </w:r>
          </w:p>
        </w:tc>
        <w:tc>
          <w:tcPr>
            <w:tcW w:w="4929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Предоставление грантовой поддержки сельскохозяйственным потребительским кооперативам для развития материально-технической базы</w:t>
            </w:r>
          </w:p>
        </w:tc>
        <w:tc>
          <w:tcPr>
            <w:tcW w:w="1810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30 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140</w:t>
            </w:r>
          </w:p>
        </w:tc>
        <w:tc>
          <w:tcPr>
            <w:tcW w:w="4929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Предоставление субсидии на возмещение части затрат на приобретение племенного молодняка крупного рогатого скота молочного направления по импорту</w:t>
            </w:r>
          </w:p>
        </w:tc>
        <w:tc>
          <w:tcPr>
            <w:tcW w:w="1810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20 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141</w:t>
            </w:r>
          </w:p>
        </w:tc>
        <w:tc>
          <w:tcPr>
            <w:tcW w:w="4929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Предоставление субсидии на поддержку племенного животноводства</w:t>
            </w:r>
          </w:p>
        </w:tc>
        <w:tc>
          <w:tcPr>
            <w:tcW w:w="1810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2  рабочих дня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8,5" w:hAnsi="8,5"/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</w:r>
          </w:p>
        </w:tc>
        <w:tc>
          <w:tcPr>
            <w:tcW w:w="1063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  <w:b/>
                <w:b/>
              </w:rPr>
            </w:pPr>
            <w:r>
              <w:rPr>
                <w:rStyle w:val="FontStyle14"/>
                <w:rFonts w:cs="Arial"/>
                <w:b/>
                <w:sz w:val="14"/>
                <w:szCs w:val="14"/>
              </w:rPr>
              <w:t>Министерство строительства, архитектуры и территориального развития Ростовской области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142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Выдача разрешения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сооружений)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10 календарных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143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Выдача разрешения на ввод в эксплуатацию в случае, если строительство объекта капитального строительства осуществлено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сооружений, линий связи)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10 календарных дней</w:t>
            </w:r>
          </w:p>
        </w:tc>
      </w:tr>
      <w:tr>
        <w:trPr>
          <w:trHeight w:val="230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8,5" w:hAnsi="8,5"/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</w:r>
          </w:p>
        </w:tc>
        <w:tc>
          <w:tcPr>
            <w:tcW w:w="1063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  <w:b/>
                <w:b/>
              </w:rPr>
            </w:pPr>
            <w:r>
              <w:rPr>
                <w:rStyle w:val="FontStyle14"/>
                <w:rFonts w:cs="Arial"/>
                <w:b/>
                <w:sz w:val="14"/>
                <w:szCs w:val="14"/>
              </w:rPr>
              <w:t>Министерство экономического развития Ростовской области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144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организациям-экспортерам готовой продукции на возмещение части затрат по уплате процентов по кредитам, полученным в российских кредитных организациях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52 рабочих дня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145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организациям – экспортерам готовой продукции (товаров, работ, услуг) на возмещение части затрат по страхованию экспортной деятельности и страхованию экспортных кредитных поставок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52 рабочих дня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146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организациям – экспортерам готовой продукции на возмещение части затрат на сертификацию экспортной продукции на соответствие требованиям международных стандартов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52 рабочих дня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  <w:lang w:val="en-US"/>
              </w:rPr>
              <w:t>147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организациям – экспортерам готовой продукции на возмещение части затрат, связанных с участием в выставочных мероприятиях за рубежом, в части оплаты аренды выставочных площадей, регистрационных взносов и услуг по оформлению выставочных стендов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52 рабочих дня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148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субъектам малого и среднего предпринимательства на возмещение части затрат на участие в бизнес-миссиях (деловых миссиях)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52 рабочих дня</w:t>
            </w:r>
          </w:p>
        </w:tc>
      </w:tr>
      <w:tr>
        <w:trPr>
          <w:trHeight w:val="162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8,5" w:hAnsi="8,5"/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</w:r>
          </w:p>
        </w:tc>
        <w:tc>
          <w:tcPr>
            <w:tcW w:w="1063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  <w:b/>
                <w:b/>
              </w:rPr>
            </w:pPr>
            <w:r>
              <w:rPr>
                <w:rStyle w:val="FontStyle14"/>
                <w:rFonts w:cs="Arial"/>
                <w:b/>
                <w:sz w:val="14"/>
                <w:szCs w:val="14"/>
              </w:rPr>
              <w:t>Департамент инвестиций и предпринимательства Ростовской области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149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субъектам малого и среднего предпринимательства на возмещение части процентной ставки по привлеченным кредитам, займам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50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150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субъектам малого и среднего предпринимательства на возмещение части стоимости подготовки и дополнительного профессионального образования работников, включая дистанционный формат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50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151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субъектам малого и среднего предпринимательства на возмещение части затрат на реализацию программ энергосбережения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52 рабочих дня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152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субъектам малого и среднего предпринимательства на возмещение части стоимости присоединения к сетям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52 рабочих дня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153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льгот по налогам инвесторам, осуществляющим реализацию инвестиционных проектов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14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154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на возмещение части затрат на уплату процентов по кредитам, полученным на реализацию инвестиционных проектов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110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155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субъектам малого и среднего предпринимательства на возмещение части лизинговых платежей, в том числе первоначального взноса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53 рабочих дня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156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субъектам малого и среднего предпринимательства на возмещение части затрат на приобретение банковской гарантии или поручительства третьих лиц, страховых взносов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50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157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субъектам инновационной деятельности (за исключением государственных (муниципальных) учреждений) за счет средств областного бюджета на возмещение части капитальных и (или) текущих затрат, связанных с производством инновационной продукции (товаров, работ, услуг)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63 рабочих дня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158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субъектам малого предпринимательства нежилых помещений Ростовского бизнес-инкубатора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30 календарных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159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субъектам малого и среднего предпринимательства на возмещение части затрат, связанных с оплатой услуг по выполнению обязательных требований законодательства Российской Федерации и (или) законодательства страны-импортера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52 рабочих дня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160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субъектам малого и среднего предпринимательства на возмещение части затрат, связанных с участием в зарубежных и российских выставочно-ярмарочных мероприятиях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50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161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начинающим предпринимателям на возмещение части затрат по организации собственного дела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40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162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субъектам туристской индустрии на возмещение части затрат на приобретение основных средств в связи с оказанием услуг в сфере въездного и внутреннего туризма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50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163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cs="Arial"/>
                <w:sz w:val="14"/>
                <w:szCs w:val="14"/>
              </w:rPr>
            </w:pPr>
            <w:r>
              <w:rPr/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cs="Arial"/>
                <w:sz w:val="14"/>
                <w:szCs w:val="14"/>
              </w:rPr>
            </w:pPr>
            <w:r>
              <w:rPr/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cs="Arial"/>
                <w:sz w:val="14"/>
                <w:szCs w:val="14"/>
              </w:rPr>
            </w:pPr>
            <w:r>
              <w:rPr/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164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субъектам туристской индустрии на возмещение части затрат на рекламно-информационное продвижение турпродукта в связи с оказанием услуг в сфере въездного и внутреннего туризма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50 рабочих дней</w:t>
            </w:r>
          </w:p>
        </w:tc>
      </w:tr>
      <w:tr>
        <w:trPr>
          <w:trHeight w:val="196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8,5" w:hAnsi="8,5"/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</w:r>
          </w:p>
        </w:tc>
        <w:tc>
          <w:tcPr>
            <w:tcW w:w="1063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  <w:b/>
                <w:b/>
              </w:rPr>
            </w:pPr>
            <w:r>
              <w:rPr>
                <w:rStyle w:val="FontStyle14"/>
                <w:rFonts w:cs="Arial"/>
                <w:b/>
                <w:sz w:val="14"/>
                <w:szCs w:val="14"/>
              </w:rPr>
              <w:t>Министерство природных ресурсов и экологии Ростовской области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165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лесного участка в постоянное (бессрочное) пользование прав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30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166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Заключение договоров безвозмездного пользования лесными участками (предоставление в безвозмездное пользование лесных участков для использования лесов гражданами в целях осуществления сельскохозяйственной деятельности, в том числе пчеловодства) для собственных нужд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30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167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Рассмотрение поданных лесных деклараций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5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168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субсидии на возмещение 50 процентов затрат (без НДС и транспортных расходов) на приобретение запасных частей, текущий ремонт и (или) модернизацию судов, используемых в целях добычи (вылова) водных биологических ресурсов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50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169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субсидии на возмещение 50 процентов затрат (без НДС) на приобретение электрической энергии для переработки, охлаждения и хранения рыбы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50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170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субсидии на возмещение 50 процентов затрат (без НДС и транспортных расходов) на приобретение и установку холодильного, рыбоперерабатывающего оборудования, оборудования для упаковки, на приобретение спецавтотранспорта, в том числе по импорту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50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171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субсидии на возмещение части затрат на добычу (вылов) карася, тюльки, шпрота, хамсы и бычков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50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172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субсидии на возмещение 50 процентов затрат на приобретение основных средств, используемых в рыбоводстве, в том числе по импорту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50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173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субсидии на возмещение 50 процентов затрат на приобретение электрической энергии для подачи воды в целях выращивания рыбы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50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174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субсидии на возмещение части затрат на выращивание и реализацию осетровых, сомовых, лососевых и карпа, выращенных в полувольных условиях или искусственно созданной среде обитания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50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175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субсидии на возмещение 50 процентов затрат на приобретение кормов, использованных для выращивания осетровых, форелевых, сомовых видов и пород рыб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50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176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субсидии на возмещение части затрат на производство рыбопосадочного материала для зарыбления внутренних водоемов Ростовской области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30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177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права пользования недрами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Государственная пошлина – 7500 рублей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95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178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Внесение изменений в лицензию на право пользования недрами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Государственная пошлина – 750 рублей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90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179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Переоформление лицензии на право пользования недрами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Государственная пошлина – 750 рублей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90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180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Прекращение права пользования недрами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  <w:p>
            <w:pPr>
              <w:pStyle w:val="Normal"/>
              <w:spacing w:lineRule="auto" w:line="240" w:before="0" w:after="0"/>
              <w:rPr>
                <w:rStyle w:val="FontStyle14"/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60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181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Выдача разрешений на выбросы вредных (загрязняющих) веществ (за исключением радиоактивных веществ) в атмосферный воздух стационарными источниками, находящимися на объектах хозяйственной и иной деятельности, не подлежащих федеральному государственному экологическому надзору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За выдачу разрешения на выброс, в том числе в случае реорганизации хозяйствующего субъекта, уплачивается государственная пошлина в размере 3500 рублей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 xml:space="preserve">За выдачу разрешения на выброс в случае изменения наименования и (или) места нахождения заявителя, а также за оформление дубликата разрешения на выброс государственная пошлина не уплачивается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За выдачу разрешения и оформления дубликата разрешения на выброс иная плата не взимается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При обращении за выдачей разрешения на выброс – 25 рабочих дней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Style w:val="FontStyle14"/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При обращении за выдачей разрешения на выброс в случае изменения наименования и (или) места нахождения заявителя – 10 рабочих дней.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Style w:val="FontStyle14"/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Style w:val="FontStyle14"/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При обращении за оформлением дубликата разрешения – 10 рабочих дней.</w:t>
            </w:r>
          </w:p>
        </w:tc>
      </w:tr>
      <w:tr>
        <w:trPr>
          <w:trHeight w:val="306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8,5" w:hAnsi="8,5"/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</w:r>
          </w:p>
        </w:tc>
        <w:tc>
          <w:tcPr>
            <w:tcW w:w="1063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  <w:b/>
                <w:b/>
              </w:rPr>
            </w:pPr>
            <w:r>
              <w:rPr>
                <w:rStyle w:val="FontStyle14"/>
                <w:rFonts w:cs="Arial"/>
                <w:b/>
                <w:sz w:val="14"/>
                <w:szCs w:val="14"/>
              </w:rPr>
              <w:t>Комитет по молодежной политике Ростовской области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182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Формирование областного реестра молодежных и детских общественных объединений, пользующихся государственной поддержкой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5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183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студенческим отрядам Ростовской области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18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184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молодежным и детским общественным объединениям, входящим в областной реестр молодежных и детских общественных объединений, пользующихся государственной поддержкой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28 рабочих дней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8,5" w:hAnsi="8,5"/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</w:r>
          </w:p>
        </w:tc>
        <w:tc>
          <w:tcPr>
            <w:tcW w:w="1063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  <w:b/>
                <w:b/>
              </w:rPr>
            </w:pPr>
            <w:r>
              <w:rPr>
                <w:rStyle w:val="FontStyle14"/>
                <w:rFonts w:cs="Arial"/>
                <w:b/>
                <w:sz w:val="14"/>
                <w:szCs w:val="14"/>
              </w:rPr>
              <w:t>Управление ветеринарии Ростовской области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185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Регистрация специалистов в области ветеринарии, занимающихся предпринимательской деятельностью на территории Ростовской области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10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186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Определение зоосанитарного статуса свиноводческих хозяйств, а также организаций, осуществляющих убой свиней, переработку и хранение продукции свиноводства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30 календарных дней</w:t>
            </w:r>
          </w:p>
        </w:tc>
      </w:tr>
      <w:tr>
        <w:trPr>
          <w:trHeight w:val="286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8,5" w:hAnsi="8,5"/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</w:r>
          </w:p>
        </w:tc>
        <w:tc>
          <w:tcPr>
            <w:tcW w:w="1063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  <w:b/>
                <w:b/>
              </w:rPr>
            </w:pPr>
            <w:r>
              <w:rPr>
                <w:rStyle w:val="FontStyle14"/>
                <w:rFonts w:cs="Arial"/>
                <w:b/>
                <w:sz w:val="14"/>
                <w:szCs w:val="14"/>
              </w:rPr>
              <w:t>Управление государственного надзора за техническим состоянием самоходных машин и других видов техники Ростовской области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187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Участие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Сбор –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 xml:space="preserve"> </w:t>
            </w:r>
            <w:r>
              <w:rPr>
                <w:rStyle w:val="FontStyle14"/>
                <w:rFonts w:cs="Arial"/>
                <w:sz w:val="14"/>
                <w:szCs w:val="14"/>
              </w:rPr>
              <w:t>1141 рубль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15 рабочих дней</w:t>
            </w:r>
          </w:p>
        </w:tc>
      </w:tr>
      <w:tr>
        <w:trPr>
          <w:trHeight w:val="416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8,5" w:hAnsi="8,5"/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</w:r>
          </w:p>
        </w:tc>
        <w:tc>
          <w:tcPr>
            <w:tcW w:w="1063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 w:ascii="Times New Roman" w:hAnsi="Times New Roman"/>
                <w:b/>
                <w:sz w:val="14"/>
                <w:szCs w:val="14"/>
              </w:rPr>
              <w:t>Муниципальные услуги в сфере в сфере земельно-имущественных отношений, архитектуры и градостроительства, а также в жилищной сфере</w:t>
            </w:r>
          </w:p>
        </w:tc>
      </w:tr>
      <w:tr>
        <w:trPr>
          <w:trHeight w:val="993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188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Внесение изменений в разрешение для строительства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Срок оказания услуги - 10 календарных дней</w:t>
            </w:r>
          </w:p>
        </w:tc>
      </w:tr>
      <w:tr>
        <w:trPr>
          <w:trHeight w:val="993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189</w:t>
            </w:r>
          </w:p>
        </w:tc>
        <w:tc>
          <w:tcPr>
            <w:tcW w:w="4929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Продление срока действия разрешения на строительство</w:t>
            </w:r>
          </w:p>
        </w:tc>
        <w:tc>
          <w:tcPr>
            <w:tcW w:w="1810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Срок оказания услуги - 10 календарных дней</w:t>
            </w:r>
          </w:p>
        </w:tc>
      </w:tr>
      <w:tr>
        <w:trPr>
          <w:trHeight w:val="993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190</w:t>
            </w:r>
          </w:p>
        </w:tc>
        <w:tc>
          <w:tcPr>
            <w:tcW w:w="4929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Предоставление земельных участков, государственная собственность на которые не разграничена, и земельных участков, находящихся в муниципальной собственности, для целей, не связанных со строительством единственному заявителю</w:t>
            </w:r>
          </w:p>
        </w:tc>
        <w:tc>
          <w:tcPr>
            <w:tcW w:w="1810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Срок оказания услуги - 21 календарный день</w:t>
            </w:r>
          </w:p>
        </w:tc>
      </w:tr>
      <w:tr>
        <w:trPr>
          <w:trHeight w:val="830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191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Предоставление земельных участков для строительства при наличии утвержденных материалов предварительного согласования мест размещения объектов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7"/>
              </w:rPr>
            </w:pPr>
            <w:r>
              <w:rPr>
                <w:sz w:val="14"/>
                <w:szCs w:val="14"/>
              </w:rPr>
              <w:t>120 дней – проведение мероприятий по оценке рыночной стоимости земельного участка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7"/>
              </w:rPr>
            </w:pPr>
            <w:r>
              <w:rPr>
                <w:sz w:val="14"/>
                <w:szCs w:val="14"/>
              </w:rPr>
              <w:t>14 дней – принятие решения уполномоченного органа;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sz w:val="14"/>
                <w:szCs w:val="14"/>
              </w:rPr>
              <w:t>14 дней – заключение договора аренды / безвозмездного срочного пользования земельным участком</w:t>
            </w:r>
          </w:p>
        </w:tc>
      </w:tr>
      <w:tr>
        <w:trPr>
          <w:trHeight w:val="830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192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Предоставление земельных участков, находящихся в муниципальной собственности, или земельных участков, государственная собственность на которые не разграничена, на которых расположены здания, строения, сооружения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б</w:t>
            </w:r>
            <w:r>
              <w:rPr>
                <w:rFonts w:cs="Arial"/>
                <w:sz w:val="14"/>
                <w:szCs w:val="14"/>
                <w:lang w:val="en-US"/>
              </w:rPr>
              <w:t>е</w:t>
            </w:r>
            <w:r>
              <w:rPr>
                <w:rFonts w:cs="Arial"/>
                <w:sz w:val="14"/>
                <w:szCs w:val="14"/>
              </w:rPr>
              <w:t>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152 дня со дня регистрации заявления</w:t>
            </w:r>
          </w:p>
        </w:tc>
      </w:tr>
      <w:tr>
        <w:trPr>
          <w:trHeight w:val="993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193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Постановка на учет граждан, имеющих трех и более детей в целях бесплатного предоставления земельного участка в собственность для индивидуального жилищного строительства, ведения личного подсобного хозяйства или создания крестьянского (фермерского) хозяйства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sz w:val="14"/>
                <w:szCs w:val="14"/>
              </w:rPr>
              <w:t>Срок оказания услуги- 30 календарных дней со дня регистрации заявителя</w:t>
            </w:r>
          </w:p>
        </w:tc>
      </w:tr>
      <w:tr>
        <w:trPr>
          <w:trHeight w:val="661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194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Предоставление в собственность земельных участков садоводческим, огородническим и дачным некоммерческим объединениям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- 30 календарных дней со дня регистрации заявителя</w:t>
            </w:r>
          </w:p>
        </w:tc>
      </w:tr>
      <w:tr>
        <w:trPr>
          <w:trHeight w:val="673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195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Предоставление в собственность земельных участков членам садоводческого, огороднического или дачного некоммерческого объединения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-30 календарных дней со дня регистрации заявителя</w:t>
            </w:r>
          </w:p>
        </w:tc>
      </w:tr>
      <w:tr>
        <w:trPr>
          <w:trHeight w:val="846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196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Прекращение права постоянного (бессрочного) пользования земельным участком или права пожизненного наследуемого владения земельным участком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sz w:val="14"/>
                <w:szCs w:val="14"/>
              </w:rPr>
              <w:t>Срок оказания услуги - 1 месяц после получения всех необходимых документов</w:t>
            </w:r>
          </w:p>
        </w:tc>
      </w:tr>
      <w:tr>
        <w:trPr>
          <w:trHeight w:val="846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197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Предоставление земельных участков из земель сельскохозяйственного назначения в собственность по истечению трех лет с момента заключения договора аренды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- 30 календарных дней со дня регистрации заявителя</w:t>
            </w:r>
          </w:p>
        </w:tc>
      </w:tr>
      <w:tr>
        <w:trPr>
          <w:trHeight w:val="560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198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 xml:space="preserve">Срок оказания услуги - </w:t>
            </w:r>
            <w:r>
              <w:rPr>
                <w:sz w:val="14"/>
                <w:szCs w:val="14"/>
              </w:rPr>
              <w:t>10 календарных дней</w:t>
            </w:r>
          </w:p>
        </w:tc>
      </w:tr>
      <w:tr>
        <w:trPr>
          <w:trHeight w:val="568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199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Заключение договоров аренды муниципального имущества (за исключением земельных участков) на новый срок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sz w:val="14"/>
                <w:szCs w:val="14"/>
              </w:rPr>
              <w:t>Срок оказания услуги – 30 календарных дней</w:t>
            </w:r>
          </w:p>
        </w:tc>
      </w:tr>
      <w:tr>
        <w:trPr>
          <w:trHeight w:val="541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200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Выдача справки об отсутствии (наличии) задолженности по арендной плате за земельный участок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- 15 рабочих дней со дня регистрации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</w:r>
          </w:p>
        </w:tc>
      </w:tr>
      <w:tr>
        <w:trPr>
          <w:trHeight w:val="556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201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Предоставление гражданам, имеющим трех и более детей, в собственность бесплатно земельных участков, находящихся в муниципальной собственности, или государственная собственность на которые не разграничена, для жилищного строительства или ведения личного подсобного хозяйства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1 месяц со дня формирования земельного участка</w:t>
            </w:r>
          </w:p>
        </w:tc>
      </w:tr>
      <w:tr>
        <w:trPr>
          <w:trHeight w:val="556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202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Предоставление муниципального имущества (за исключением земельных участков) в аренду без проведения торгов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152 дня со дня регистрации заявления</w:t>
            </w:r>
          </w:p>
        </w:tc>
      </w:tr>
      <w:tr>
        <w:trPr>
          <w:trHeight w:val="401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203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 xml:space="preserve">Принятие решения об образовании земельных участков  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– 30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</w:r>
          </w:p>
        </w:tc>
      </w:tr>
      <w:tr>
        <w:trPr>
          <w:trHeight w:val="56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204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Расторжение договора аренды, безвозмездного пользования земельным участком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- 37 календарных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</w:r>
          </w:p>
        </w:tc>
      </w:tr>
      <w:tr>
        <w:trPr>
          <w:trHeight w:val="558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205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Расторжение договора аренды муниципального имущества (за исключением земельных участков)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- 90 календарных дней</w:t>
            </w:r>
          </w:p>
        </w:tc>
      </w:tr>
      <w:tr>
        <w:trPr>
          <w:trHeight w:val="538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206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Заключение дополнительных соглашений к договорам аренды, безвозмездного пользования земельным участком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- 60 календарных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</w:r>
          </w:p>
        </w:tc>
      </w:tr>
      <w:tr>
        <w:trPr>
          <w:trHeight w:val="716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207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Заключение дополнительных соглашений к договорам аренды муниципального имущества (за исключением земельных участков)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- 60 календарных дней</w:t>
            </w:r>
          </w:p>
        </w:tc>
      </w:tr>
      <w:tr>
        <w:trPr>
          <w:trHeight w:val="993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208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Предоставление правообладателю муниципального имущества, а также земельных участков, государственная собственность на которые не разграничена, заверенных копий правоустанавливающих документов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sz w:val="14"/>
                <w:szCs w:val="14"/>
              </w:rPr>
              <w:t>Срок оказания услуги - 10 рабочих дней</w:t>
            </w:r>
          </w:p>
        </w:tc>
      </w:tr>
      <w:tr>
        <w:trPr>
          <w:trHeight w:val="486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209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Выдача арендатору земельного участка согласия на залог права аренды земельного участка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sz w:val="14"/>
                <w:szCs w:val="14"/>
              </w:rPr>
              <w:t>Срок оказания услуги - 10 рабочих дней</w:t>
            </w:r>
          </w:p>
        </w:tc>
      </w:tr>
      <w:tr>
        <w:trPr>
          <w:trHeight w:val="536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210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Сверка арендных платежей с арендаторами земельных участков, муниципального имущества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sz w:val="14"/>
                <w:szCs w:val="14"/>
              </w:rPr>
              <w:t>Срок оказания услуги - 15 рабочих дней</w:t>
            </w:r>
          </w:p>
        </w:tc>
      </w:tr>
      <w:tr>
        <w:trPr>
          <w:trHeight w:val="691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211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Уточнение вида и принадлежности платежей по арендной плате или возврат излишне оплаченных денежных средств за муниципальное имущество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sz w:val="14"/>
                <w:szCs w:val="14"/>
              </w:rPr>
              <w:t>Срок оказания услуги - 45 рабочих дней</w:t>
            </w:r>
          </w:p>
        </w:tc>
      </w:tr>
      <w:tr>
        <w:trPr>
          <w:trHeight w:val="715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212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Устранение технических ошибок в правоустанавливающих документах о предоставлении земельного участка, принятых органами местного самоуправления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sz w:val="14"/>
                <w:szCs w:val="14"/>
              </w:rPr>
              <w:t>Срок оказания услуги - 20 рабочих дней</w:t>
            </w:r>
          </w:p>
        </w:tc>
      </w:tr>
      <w:tr>
        <w:trPr>
          <w:trHeight w:val="710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213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sz w:val="14"/>
                <w:szCs w:val="14"/>
              </w:rPr>
              <w:t>Срок оказания услуги – 2 месяца</w:t>
            </w:r>
          </w:p>
        </w:tc>
      </w:tr>
      <w:tr>
        <w:trPr>
          <w:trHeight w:val="509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214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Передача в муниципальную собственность ранее приватизированных жилых помещений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sz w:val="14"/>
                <w:szCs w:val="14"/>
              </w:rPr>
              <w:t>Срок оказания услуги – 2 месяца</w:t>
            </w:r>
          </w:p>
        </w:tc>
      </w:tr>
      <w:tr>
        <w:trPr>
          <w:trHeight w:val="841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215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Продажа земельного участка, находящегося в муниципальной собственности или государственная собственность на который не разграничена, без проведения торгов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7"/>
              </w:rPr>
            </w:pPr>
            <w:r>
              <w:rPr>
                <w:sz w:val="14"/>
                <w:szCs w:val="14"/>
              </w:rPr>
              <w:t>Срок оказания услуги – 30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6"/>
              </w:rPr>
            </w:pPr>
            <w:r>
              <w:rPr>
                <w:i/>
                <w:sz w:val="14"/>
                <w:szCs w:val="14"/>
              </w:rPr>
              <w:t xml:space="preserve">В случае </w:t>
            </w:r>
            <w:r>
              <w:rPr>
                <w:b/>
                <w:i/>
                <w:sz w:val="14"/>
                <w:szCs w:val="14"/>
              </w:rPr>
              <w:t>если решение о предварительном согласовании</w:t>
            </w:r>
            <w:r>
              <w:rPr>
                <w:i/>
                <w:sz w:val="14"/>
                <w:szCs w:val="14"/>
              </w:rPr>
              <w:t xml:space="preserve"> предоставления земельного участка </w:t>
            </w:r>
            <w:r>
              <w:rPr>
                <w:b/>
                <w:i/>
                <w:sz w:val="14"/>
                <w:szCs w:val="14"/>
              </w:rPr>
              <w:t>не принималось</w:t>
            </w:r>
            <w:r>
              <w:rPr>
                <w:i/>
                <w:sz w:val="14"/>
                <w:szCs w:val="14"/>
              </w:rPr>
              <w:t xml:space="preserve"> при предоставлении земельного участка </w:t>
            </w:r>
            <w:r>
              <w:rPr>
                <w:b/>
                <w:i/>
                <w:sz w:val="14"/>
                <w:szCs w:val="14"/>
              </w:rPr>
              <w:t xml:space="preserve">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</w:t>
            </w:r>
            <w:r>
              <w:rPr>
                <w:i/>
                <w:sz w:val="14"/>
                <w:szCs w:val="14"/>
              </w:rPr>
              <w:t xml:space="preserve">– </w:t>
            </w:r>
            <w:r>
              <w:rPr>
                <w:b/>
                <w:sz w:val="14"/>
                <w:szCs w:val="14"/>
              </w:rPr>
              <w:t>не более 67 дней, в том числе: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7"/>
              </w:rPr>
            </w:pPr>
            <w:r>
              <w:rPr>
                <w:b/>
                <w:sz w:val="14"/>
                <w:szCs w:val="14"/>
              </w:rPr>
              <w:t>1.</w:t>
            </w:r>
            <w:r>
              <w:rPr>
                <w:sz w:val="14"/>
                <w:szCs w:val="14"/>
              </w:rPr>
              <w:t xml:space="preserve"> 30 дней на: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7"/>
              </w:rPr>
            </w:pPr>
            <w:r>
              <w:rPr>
                <w:sz w:val="14"/>
                <w:szCs w:val="14"/>
              </w:rPr>
              <w:t>- опубликование извещения о предоставлении земельного участка для указанных целей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4"/>
                <w:szCs w:val="14"/>
              </w:rPr>
              <w:t>или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7"/>
              </w:rPr>
            </w:pPr>
            <w:r>
              <w:rPr>
                <w:sz w:val="14"/>
                <w:szCs w:val="14"/>
              </w:rPr>
              <w:t>- принятие решения об отказе в предоставлении земельного участка в соответствии со статьей 39.16 Земельного кодекса РФ.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7"/>
              </w:rPr>
            </w:pPr>
            <w:r>
              <w:rPr>
                <w:b/>
                <w:sz w:val="14"/>
                <w:szCs w:val="14"/>
              </w:rPr>
              <w:t>2.1. Если не было альтернативных заявлений: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7"/>
              </w:rPr>
            </w:pPr>
            <w:r>
              <w:rPr>
                <w:sz w:val="14"/>
                <w:szCs w:val="14"/>
              </w:rPr>
              <w:t>30 дней со дня опубликования извещения –подготовка проекта договора купли-продажи земельного участка в трех экземплярах, их подписание и направление заявителю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7"/>
              </w:rPr>
            </w:pPr>
            <w:r>
              <w:rPr>
                <w:b/>
                <w:sz w:val="14"/>
                <w:szCs w:val="14"/>
              </w:rPr>
              <w:t>2.2. Если поступили альтернативные заявления: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  <w:sz w:val="16"/>
              </w:rPr>
            </w:pPr>
            <w:r>
              <w:rPr>
                <w:sz w:val="14"/>
                <w:szCs w:val="14"/>
              </w:rPr>
              <w:t>7 дней с момента поступления таких заявлений – принятие решения об отказе в предоставлении земельного участка обратившемуся лицу и о проведении аукциона</w:t>
            </w:r>
          </w:p>
        </w:tc>
      </w:tr>
      <w:tr>
        <w:trPr>
          <w:trHeight w:val="993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216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разграничена, в собственность бесплатно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– 30 календарных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sz w:val="14"/>
                <w:szCs w:val="14"/>
              </w:rPr>
              <w:t>14 дней (</w:t>
            </w:r>
            <w:r>
              <w:rPr>
                <w:b/>
                <w:sz w:val="14"/>
                <w:szCs w:val="14"/>
              </w:rPr>
              <w:t>при обращении</w:t>
            </w:r>
            <w:r>
              <w:rPr>
                <w:sz w:val="14"/>
                <w:szCs w:val="14"/>
              </w:rPr>
              <w:t xml:space="preserve"> садоводческого, огороднического или дачного </w:t>
            </w:r>
            <w:r>
              <w:rPr>
                <w:b/>
                <w:sz w:val="14"/>
                <w:szCs w:val="14"/>
              </w:rPr>
              <w:t>некоммерческого объединения в отношении земельных участков, предоставленных до 07.11.2001</w:t>
            </w:r>
            <w:r>
              <w:rPr>
                <w:sz w:val="14"/>
                <w:szCs w:val="14"/>
              </w:rPr>
              <w:t xml:space="preserve"> для ведения садоводства, огородничества или дачного хозяйства некоммерческому объединению)</w:t>
            </w:r>
          </w:p>
        </w:tc>
      </w:tr>
      <w:tr>
        <w:trPr>
          <w:trHeight w:val="349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217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4"/>
                <w:szCs w:val="14"/>
              </w:rPr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разграничена, в аренду без проведения торгов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1 месяц</w:t>
            </w:r>
          </w:p>
        </w:tc>
      </w:tr>
      <w:tr>
        <w:trPr>
          <w:trHeight w:val="561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218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7"/>
              </w:rPr>
            </w:pPr>
            <w:r>
              <w:rPr>
                <w:sz w:val="14"/>
                <w:szCs w:val="14"/>
              </w:rPr>
              <w:t>Срок оказания услуги –  30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i/>
                <w:i/>
                <w:sz w:val="20"/>
                <w:highlight w:val="yellow"/>
              </w:rPr>
            </w:pPr>
            <w:r>
              <w:rPr>
                <w:i/>
                <w:sz w:val="14"/>
                <w:szCs w:val="14"/>
              </w:rPr>
              <w:t xml:space="preserve">При обращении за предварительным согласованием </w:t>
            </w:r>
            <w:r>
              <w:rPr>
                <w:b/>
                <w:i/>
                <w:sz w:val="14"/>
                <w:szCs w:val="14"/>
              </w:rPr>
              <w:t xml:space="preserve">граждан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 и крестьянских (фермерских) хозяйств для осуществления крестьянским (фермерским) хозяйством его деятельности </w:t>
            </w:r>
            <w:r>
              <w:rPr>
                <w:i/>
                <w:sz w:val="14"/>
                <w:szCs w:val="14"/>
              </w:rPr>
              <w:t xml:space="preserve">– </w:t>
            </w:r>
            <w:r>
              <w:rPr>
                <w:b/>
                <w:sz w:val="14"/>
                <w:szCs w:val="14"/>
              </w:rPr>
              <w:t>не более 67 дней, в том числе: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7"/>
              </w:rPr>
            </w:pPr>
            <w:r>
              <w:rPr>
                <w:b/>
                <w:sz w:val="14"/>
                <w:szCs w:val="14"/>
              </w:rPr>
              <w:t>1.</w:t>
            </w:r>
            <w:r>
              <w:rPr>
                <w:sz w:val="14"/>
                <w:szCs w:val="14"/>
              </w:rPr>
              <w:t xml:space="preserve"> 30 дней на: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7"/>
              </w:rPr>
            </w:pPr>
            <w:r>
              <w:rPr>
                <w:sz w:val="14"/>
                <w:szCs w:val="14"/>
              </w:rPr>
              <w:t>- опубликование извещения о предоставлении земельного участка для указанных целей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14"/>
                <w:szCs w:val="14"/>
              </w:rPr>
              <w:t>или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7"/>
              </w:rPr>
            </w:pPr>
            <w:r>
              <w:rPr>
                <w:sz w:val="14"/>
                <w:szCs w:val="14"/>
              </w:rPr>
              <w:t>- принятие решения об отказе в предварительном согласовании предоставления земельного участка в соответствии с п.8 ст.39.15 Земельного кодекса РФ.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7"/>
              </w:rPr>
            </w:pPr>
            <w:r>
              <w:rPr>
                <w:b/>
                <w:sz w:val="14"/>
                <w:szCs w:val="14"/>
              </w:rPr>
              <w:t>2.1. Если не было альтернативных заявлений: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7"/>
              </w:rPr>
            </w:pPr>
            <w:r>
              <w:rPr>
                <w:sz w:val="14"/>
                <w:szCs w:val="14"/>
              </w:rPr>
              <w:t>30 дней со дня опубликования извещения –принятие решения о предварительном согласовании предоставления земельного участка и направление решения заявителю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7"/>
              </w:rPr>
            </w:pPr>
            <w:r>
              <w:rPr>
                <w:b/>
                <w:sz w:val="14"/>
                <w:szCs w:val="14"/>
              </w:rPr>
              <w:t>2.2. Если поступили альтернативные заявления: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sz w:val="14"/>
                <w:szCs w:val="14"/>
              </w:rPr>
              <w:t>7 дней с момента поступления таких заявлений – принятие решения об отказе в предварительном согласовании предоставления земельного участка</w:t>
            </w:r>
          </w:p>
        </w:tc>
      </w:tr>
      <w:tr>
        <w:trPr>
          <w:trHeight w:val="541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219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Утверждение схемы расположения земельного участка на кадастровом плане территории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30 календарных дней</w:t>
            </w:r>
          </w:p>
        </w:tc>
      </w:tr>
      <w:tr>
        <w:trPr>
          <w:trHeight w:val="541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220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Предоставление в аренду земельных участков, находящихся в муниципальной собственности или государственная собственность на которые не разграничена, пользователю недр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– 30 календарных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</w:r>
          </w:p>
        </w:tc>
      </w:tr>
      <w:tr>
        <w:trPr>
          <w:trHeight w:val="541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221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Заключение договоров аренды земельных участков, находящихся в муниципальной собственности, или земельных участков, государственная собственность на которые не разграничена, на новый срок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– 30 календарных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</w:r>
          </w:p>
        </w:tc>
      </w:tr>
      <w:tr>
        <w:trPr>
          <w:trHeight w:val="441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222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Предоставление разрешения на строительство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– 10 календарных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</w:r>
          </w:p>
        </w:tc>
      </w:tr>
      <w:tr>
        <w:trPr>
          <w:trHeight w:val="498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223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Предоставление разрешения на ввод объекта в эксплуатацию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– 10 календарных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</w:r>
          </w:p>
        </w:tc>
      </w:tr>
      <w:tr>
        <w:trPr>
          <w:trHeight w:val="543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224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– 45 календарных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</w:r>
          </w:p>
        </w:tc>
      </w:tr>
      <w:tr>
        <w:trPr>
          <w:trHeight w:val="56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225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Выдача актов приемочной комиссии после переустройства и (или) перепланировки жилого помещения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sz w:val="14"/>
                <w:szCs w:val="14"/>
              </w:rPr>
              <w:t xml:space="preserve">Срок оказания услуги - 10 календарных дней </w:t>
            </w:r>
          </w:p>
        </w:tc>
      </w:tr>
      <w:tr>
        <w:trPr>
          <w:trHeight w:val="361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226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Предоставление градостроительного плана земельного участка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– 30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</w:r>
          </w:p>
        </w:tc>
      </w:tr>
      <w:tr>
        <w:trPr>
          <w:trHeight w:val="541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227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– 45 календарных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</w:r>
          </w:p>
        </w:tc>
      </w:tr>
      <w:tr>
        <w:trPr>
          <w:trHeight w:val="562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228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Выдача разрешений на установку и эксплуатацию рекламных конструкций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sz w:val="14"/>
                <w:szCs w:val="14"/>
              </w:rPr>
              <w:t>Срок оказания услуги – 60 календарных дней</w:t>
            </w:r>
          </w:p>
        </w:tc>
      </w:tr>
      <w:tr>
        <w:trPr>
          <w:trHeight w:val="559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229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Предоставление сведений информационной системы обеспечения градостроительной деятельности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– 14 рабочих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230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– 54 календарных дня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</w:r>
          </w:p>
        </w:tc>
      </w:tr>
      <w:tr>
        <w:trPr>
          <w:trHeight w:val="548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231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Присвоение, изменение и аннулирование адреса объекта адресации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sz w:val="14"/>
                <w:szCs w:val="14"/>
              </w:rPr>
              <w:t>Срок оказания услуги - 21 рабочий день</w:t>
            </w:r>
          </w:p>
        </w:tc>
      </w:tr>
      <w:tr>
        <w:trPr>
          <w:trHeight w:val="548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232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Подготовка и утверждение схемы расположения земельного участка на кадастровом плане или кадастровой карте соответствующей территории, для целей, не связанных со строительством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– 30 календарных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605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 xml:space="preserve">233 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Согласование проектных решений по отделке фасадов (паспортов цветовых решений фасадов) при ремонте зданий, сооружений и временных объектов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sz w:val="14"/>
                <w:szCs w:val="14"/>
              </w:rPr>
              <w:t>Срок оказания услуги – 30 календарных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234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Выбор земельного участка для строительства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 xml:space="preserve">Срок оказания услуги – 51 календарный  день </w:t>
            </w:r>
          </w:p>
        </w:tc>
      </w:tr>
      <w:tr>
        <w:trPr>
          <w:trHeight w:val="831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235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Согласование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sz w:val="14"/>
                <w:szCs w:val="14"/>
              </w:rPr>
              <w:t>Срок оказания услуги - 30 календарных дней</w:t>
            </w:r>
          </w:p>
        </w:tc>
      </w:tr>
      <w:tr>
        <w:trPr>
          <w:trHeight w:val="625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 xml:space="preserve">236                         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Утверждение схемы расположения земельного участка на кадастровом плане или кадастровой карте соответствующей территории под зданиями, строениями, сооружениями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– 30 календарных дней</w:t>
            </w:r>
          </w:p>
        </w:tc>
      </w:tr>
      <w:tr>
        <w:trPr>
          <w:trHeight w:val="691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237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Утверждение схемы расположения земельного участка на кадастровом плане или кадастровой карте соответствующей территории пользователю недр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– 30 календарных дней</w:t>
            </w:r>
          </w:p>
        </w:tc>
      </w:tr>
      <w:tr>
        <w:trPr>
          <w:trHeight w:val="716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238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Выдача разрешения на строительство в целях строительства, реконструкции объекта индивидуального жилищного строительства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– 10 календарных дней</w:t>
            </w:r>
          </w:p>
        </w:tc>
      </w:tr>
      <w:tr>
        <w:trPr>
          <w:trHeight w:val="993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</w:t>
            </w:r>
            <w:r>
              <w:rPr>
                <w:rFonts w:ascii="8,5" w:hAnsi="8,5"/>
                <w:sz w:val="14"/>
                <w:szCs w:val="14"/>
                <w:lang w:val="en-US"/>
              </w:rPr>
              <w:t>39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Утверждение схемы расположения земельного участка на кадастровом плане или кадастровой карте соответствующей территории, не занятого зданиями, строениями, сооружениями, собственникам земельных участков, землепользователям, землевладельцам, арендаторам земельных участков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– 30 календарных дней</w:t>
            </w:r>
          </w:p>
        </w:tc>
      </w:tr>
      <w:tr>
        <w:trPr>
          <w:trHeight w:val="295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24</w:t>
            </w:r>
            <w:r>
              <w:rPr>
                <w:rFonts w:ascii="8,5" w:hAnsi="8,5"/>
                <w:sz w:val="14"/>
                <w:szCs w:val="14"/>
                <w:lang w:val="en-US"/>
              </w:rPr>
              <w:t>0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Предоставление сведений из адресного реестра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- 30 рабочих дней</w:t>
            </w:r>
          </w:p>
        </w:tc>
      </w:tr>
      <w:tr>
        <w:trPr>
          <w:trHeight w:val="606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24</w:t>
            </w:r>
            <w:r>
              <w:rPr>
                <w:rFonts w:ascii="8,5" w:hAnsi="8,5"/>
                <w:sz w:val="14"/>
                <w:szCs w:val="14"/>
                <w:lang w:val="en-US"/>
              </w:rPr>
              <w:t>1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Постановка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sz w:val="14"/>
                <w:szCs w:val="14"/>
              </w:rPr>
              <w:t>Срок оказания услуги - 30 рабочих дней</w:t>
            </w:r>
          </w:p>
        </w:tc>
      </w:tr>
      <w:tr>
        <w:trPr>
          <w:trHeight w:val="71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24</w:t>
            </w:r>
            <w:r>
              <w:rPr>
                <w:rFonts w:ascii="8,5" w:hAnsi="8,5"/>
                <w:sz w:val="14"/>
                <w:szCs w:val="14"/>
                <w:lang w:val="en-US"/>
              </w:rPr>
              <w:t>2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Включение молодых семей, нуждающихся в улучшении жилищных условий, в состав участников подпрограммы «Обеспечение жильем молодых семей» ФЦП «Жилище» на 2011-2015 годы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sz w:val="14"/>
                <w:szCs w:val="14"/>
              </w:rPr>
              <w:t>Срок оказания услуги – 10  рабочих дней</w:t>
            </w:r>
          </w:p>
        </w:tc>
      </w:tr>
      <w:tr>
        <w:trPr>
          <w:trHeight w:val="18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8,5" w:hAnsi="8,5"/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</w:r>
          </w:p>
        </w:tc>
        <w:tc>
          <w:tcPr>
            <w:tcW w:w="1063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rFonts w:cs="Arial"/>
                <w:b/>
                <w:sz w:val="14"/>
                <w:szCs w:val="14"/>
              </w:rPr>
              <w:t>Услуги корпорации МСП</w:t>
            </w:r>
          </w:p>
        </w:tc>
      </w:tr>
      <w:tr>
        <w:trPr>
          <w:trHeight w:val="563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</w:t>
            </w:r>
            <w:r>
              <w:rPr>
                <w:rFonts w:ascii="8,5" w:hAnsi="8,5"/>
                <w:sz w:val="14"/>
                <w:szCs w:val="14"/>
                <w:lang w:val="en-US"/>
              </w:rPr>
              <w:t>47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 xml:space="preserve">Предоставление по заданным параметрам информации об организации участия субъектов малого и среднего предпринимательства в закупках товаров, работ, услуг, в том числе инновационной продукции, высокотехнологичной продукции, конкретных заказчиков, определенных Правительством Российской Федерации в соответствии с Федеральным законом от 18 июля 2011 г. № 223-ФЗ «О закупках товаров, работ, услуг отдельными видами юридических лиц». 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bookmarkStart w:id="1" w:name="__DdeLink__2202_1154009008"/>
            <w:r>
              <w:rPr>
                <w:sz w:val="14"/>
                <w:szCs w:val="14"/>
              </w:rPr>
              <w:t xml:space="preserve">Срок оказания услуги - 3 рабочих </w:t>
            </w:r>
            <w:bookmarkEnd w:id="1"/>
            <w:r>
              <w:rPr>
                <w:sz w:val="14"/>
                <w:szCs w:val="14"/>
              </w:rPr>
              <w:t>дня</w:t>
            </w:r>
          </w:p>
        </w:tc>
      </w:tr>
      <w:tr>
        <w:trPr>
          <w:trHeight w:val="830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</w:t>
            </w:r>
            <w:r>
              <w:rPr>
                <w:rFonts w:ascii="8,5" w:hAnsi="8,5"/>
                <w:sz w:val="14"/>
                <w:szCs w:val="14"/>
                <w:lang w:val="en-US"/>
              </w:rPr>
              <w:t>48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 xml:space="preserve">Подбор по заданным параметрам информации о недвижимом имуществе, включенном в перечни государственного и муниципального имущества, предусмотренные частью 4 статьи 18 Федерального закона от 24.07.2007 № 209-ФЗ «О развитии малого и среднего предпринимательства в Российской Федерации», и свободном от прав третьих лиц 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- 3 рабочих дня</w:t>
            </w:r>
          </w:p>
        </w:tc>
      </w:tr>
      <w:tr>
        <w:trPr>
          <w:trHeight w:val="661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</w:t>
            </w:r>
            <w:r>
              <w:rPr>
                <w:rFonts w:ascii="8,5" w:hAnsi="8,5"/>
                <w:sz w:val="14"/>
                <w:szCs w:val="14"/>
                <w:lang w:val="en-US"/>
              </w:rPr>
              <w:t>49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 xml:space="preserve">Предоставление информации о формах и условиях финансовой поддержки субъектов малого и среднего предпринимательства по заданным параметрам 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- 3 рабочих дня</w:t>
            </w:r>
          </w:p>
        </w:tc>
      </w:tr>
      <w:tr>
        <w:trPr>
          <w:trHeight w:val="661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</w:t>
            </w:r>
            <w:r>
              <w:rPr>
                <w:rFonts w:ascii="8,5" w:hAnsi="8,5"/>
                <w:sz w:val="14"/>
                <w:szCs w:val="14"/>
                <w:lang w:val="en-US"/>
              </w:rPr>
              <w:t>50</w:t>
            </w:r>
          </w:p>
        </w:tc>
        <w:tc>
          <w:tcPr>
            <w:tcW w:w="4929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Подбор по заданным параметрам информации о недвижимом имуществе, включенном в перечни государственного и муниципального имущества, предусмотренные частью 4 статьи 18 Федерального закона от 24.07.2007 № 209-ФЗ «О развитии малого и среднего предпринимательства в Российской Федерации», и свободном от прав третьих лиц </w:t>
            </w:r>
          </w:p>
        </w:tc>
        <w:tc>
          <w:tcPr>
            <w:tcW w:w="1810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Срок оказания услуги - 3 рабочих дня</w:t>
            </w:r>
          </w:p>
        </w:tc>
      </w:tr>
      <w:tr>
        <w:trPr>
          <w:trHeight w:val="661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4929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Предоставлению по заданным параметрам информации об объемах и номенклатуре закупок конкретных и отдельных заказчиков, определенных в соответствии  с Федеральным законом от 18 июля 2011 г.  № 223-ФЗ «О закупках товаров, работ, услуг отдельными видами юридических лиц»,  у субъектов малого и среднего предпринимательства в текущем году</w:t>
            </w:r>
          </w:p>
        </w:tc>
        <w:tc>
          <w:tcPr>
            <w:tcW w:w="1810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Срок оказания услуги - 3 рабочих дня</w:t>
            </w:r>
          </w:p>
        </w:tc>
      </w:tr>
      <w:tr>
        <w:trPr>
          <w:trHeight w:val="303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</w:t>
            </w:r>
            <w:r>
              <w:rPr>
                <w:rFonts w:ascii="8,5" w:hAnsi="8,5"/>
                <w:sz w:val="14"/>
                <w:szCs w:val="14"/>
                <w:lang w:val="en-US"/>
              </w:rPr>
              <w:t>52</w:t>
            </w:r>
          </w:p>
        </w:tc>
        <w:tc>
          <w:tcPr>
            <w:tcW w:w="4929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Регистрация на Портале Бизнес-навигатора МСП</w:t>
            </w:r>
          </w:p>
        </w:tc>
        <w:tc>
          <w:tcPr>
            <w:tcW w:w="1810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Срок оказания услуги - 3 рабочих дня</w:t>
            </w:r>
          </w:p>
        </w:tc>
      </w:tr>
      <w:tr>
        <w:trPr>
          <w:trHeight w:val="661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  <w:r>
              <w:rPr>
                <w:sz w:val="14"/>
                <w:szCs w:val="14"/>
                <w:lang w:val="en-US"/>
              </w:rPr>
              <w:t>3</w:t>
            </w:r>
          </w:p>
        </w:tc>
        <w:tc>
          <w:tcPr>
            <w:tcW w:w="4929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Информирование о тренингах по программам обучения АО «Корпорация «МСП» и электронная запись на участие в таких тренингах.</w:t>
            </w:r>
          </w:p>
        </w:tc>
        <w:tc>
          <w:tcPr>
            <w:tcW w:w="1810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Срок оказания услуги - 3 рабочих дня</w:t>
            </w:r>
          </w:p>
        </w:tc>
      </w:tr>
      <w:tr>
        <w:trPr>
          <w:trHeight w:val="282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rPr>
                <w:rFonts w:ascii="8,5" w:hAnsi="8,5"/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</w:r>
          </w:p>
        </w:tc>
        <w:tc>
          <w:tcPr>
            <w:tcW w:w="10637" w:type="dxa"/>
            <w:gridSpan w:val="3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Arial"/>
                <w:b/>
                <w:sz w:val="14"/>
                <w:szCs w:val="14"/>
                <w:lang w:val="ru-RU"/>
              </w:rPr>
              <w:t>Другие услуги</w:t>
            </w:r>
          </w:p>
        </w:tc>
      </w:tr>
      <w:tr>
        <w:trPr>
          <w:trHeight w:val="550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25</w:t>
            </w:r>
            <w:r>
              <w:rPr>
                <w:rFonts w:ascii="8,5" w:hAnsi="8,5"/>
                <w:sz w:val="14"/>
                <w:szCs w:val="14"/>
                <w:lang w:val="en-US"/>
              </w:rPr>
              <w:t>6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Прием заявок на технологическое присоединение впервые вводимых в эксплуатацию энергопринимающих устройств заявителей, максимальная мощность которых составляет до 15 кВт включительно и электроснабжение которых осуществляется по одному источнику, выдача оферт договоров на технологическое присоединение с приложением технических условий сетевой организации, квитанций (счетов) на оплату услуг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Срок оказания услуги – 10 календарных дней</w:t>
            </w:r>
          </w:p>
        </w:tc>
      </w:tr>
      <w:tr>
        <w:trPr>
          <w:trHeight w:val="276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8,5" w:hAnsi="8,5"/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</w:r>
          </w:p>
        </w:tc>
        <w:tc>
          <w:tcPr>
            <w:tcW w:w="1063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Архивы</w:t>
            </w:r>
          </w:p>
        </w:tc>
      </w:tr>
      <w:tr>
        <w:trPr>
          <w:trHeight w:val="563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25</w:t>
            </w:r>
            <w:r>
              <w:rPr>
                <w:rFonts w:ascii="8,5" w:hAnsi="8,5"/>
                <w:sz w:val="14"/>
                <w:szCs w:val="14"/>
                <w:lang w:val="en-US"/>
              </w:rPr>
              <w:t>7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Информационное обеспечение граждан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Срок оказания услуги - 30 календарных дней</w:t>
            </w:r>
          </w:p>
        </w:tc>
      </w:tr>
      <w:tr>
        <w:trPr>
          <w:trHeight w:val="661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</w:t>
            </w:r>
            <w:r>
              <w:rPr>
                <w:rFonts w:ascii="8,5" w:hAnsi="8,5"/>
                <w:sz w:val="14"/>
                <w:szCs w:val="14"/>
                <w:lang w:val="en-US"/>
              </w:rPr>
              <w:t>59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Организация работы по исполнению запросов юридических и физических лиц и выдаче архивных справок и копий архивных документов, связанных с социальной защитой граждан, предусматривающей их пенсионное обеспечение, а также получение льгот и компенсаций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Срок оказания услуги - 30 календарных дней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sectPr>
      <w:headerReference w:type="default" r:id="rId2"/>
      <w:type w:val="nextPage"/>
      <w:pgSz w:w="11906" w:h="16838"/>
      <w:pgMar w:left="454" w:right="244" w:header="170" w:top="284" w:footer="0" w:bottom="24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Arial Black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8">
    <w:altName w:val="5"/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right"/>
      <w:rPr>
        <w:rFonts w:ascii="Times New Roman" w:hAnsi="Times New Roman" w:cs="Times New Roman"/>
        <w:color w:val="00000A"/>
        <w:sz w:val="28"/>
        <w:szCs w:val="24"/>
      </w:rPr>
    </w:pPr>
    <w:r>
      <w:rPr>
        <w:rFonts w:cs="Times New Roman" w:ascii="Times New Roman" w:hAnsi="Times New Roman"/>
        <w:color w:val="00000A"/>
        <w:sz w:val="28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sz w:val="14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d949b9"/>
    <w:pPr>
      <w:widowControl/>
      <w:bidi w:val="0"/>
      <w:spacing w:lineRule="auto" w:line="276" w:before="0" w:after="200"/>
      <w:jc w:val="left"/>
    </w:pPr>
    <w:rPr>
      <w:rFonts w:ascii="Arial" w:hAnsi="Arial" w:eastAsia="Calibri" w:cs=""/>
      <w:color w:val="623B2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de7740"/>
    <w:pPr>
      <w:keepNext w:val="true"/>
      <w:keepLines/>
      <w:spacing w:before="480" w:after="0"/>
      <w:outlineLvl w:val="0"/>
    </w:pPr>
    <w:rPr>
      <w:rFonts w:ascii="Arial Black" w:hAnsi="Arial Black" w:eastAsia="" w:cs="" w:cstheme="majorBidi" w:eastAsiaTheme="majorEastAsia"/>
      <w:bCs/>
      <w:color w:val="E04E39"/>
      <w:sz w:val="24"/>
      <w:szCs w:val="28"/>
    </w:rPr>
  </w:style>
  <w:style w:type="paragraph" w:styleId="2">
    <w:name w:val="Heading 2"/>
    <w:basedOn w:val="Normal"/>
    <w:link w:val="20"/>
    <w:uiPriority w:val="9"/>
    <w:semiHidden/>
    <w:unhideWhenUsed/>
    <w:qFormat/>
    <w:rsid w:val="00600b5f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1c7f16"/>
    <w:rPr/>
  </w:style>
  <w:style w:type="character" w:styleId="Style13" w:customStyle="1">
    <w:name w:val="Нижний колонтитул Знак"/>
    <w:basedOn w:val="DefaultParagraphFont"/>
    <w:uiPriority w:val="99"/>
    <w:qFormat/>
    <w:rsid w:val="001c7f16"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de7740"/>
    <w:rPr>
      <w:rFonts w:ascii="Arial Black" w:hAnsi="Arial Black" w:eastAsia="" w:cs="" w:cstheme="majorBidi" w:eastAsiaTheme="majorEastAsia"/>
      <w:bCs/>
      <w:color w:val="E04E39"/>
      <w:sz w:val="24"/>
      <w:szCs w:val="28"/>
    </w:rPr>
  </w:style>
  <w:style w:type="character" w:styleId="Style14" w:customStyle="1">
    <w:name w:val="Текст выноски Знак"/>
    <w:basedOn w:val="DefaultParagraphFont"/>
    <w:uiPriority w:val="99"/>
    <w:semiHidden/>
    <w:qFormat/>
    <w:rsid w:val="00a6733f"/>
    <w:rPr>
      <w:rFonts w:ascii="Segoe UI" w:hAnsi="Segoe UI" w:cs="Segoe UI"/>
      <w:color w:val="623B2A"/>
      <w:sz w:val="18"/>
      <w:szCs w:val="18"/>
    </w:rPr>
  </w:style>
  <w:style w:type="character" w:styleId="Blk" w:customStyle="1">
    <w:name w:val="blk"/>
    <w:basedOn w:val="DefaultParagraphFont"/>
    <w:qFormat/>
    <w:rsid w:val="00b87b46"/>
    <w:rPr/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600b5f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scription" w:customStyle="1">
    <w:name w:val="description"/>
    <w:basedOn w:val="DefaultParagraphFont"/>
    <w:qFormat/>
    <w:rsid w:val="00aa2782"/>
    <w:rPr/>
  </w:style>
  <w:style w:type="character" w:styleId="Ep" w:customStyle="1">
    <w:name w:val="ep"/>
    <w:basedOn w:val="DefaultParagraphFont"/>
    <w:qFormat/>
    <w:rsid w:val="00f31b00"/>
    <w:rPr/>
  </w:style>
  <w:style w:type="character" w:styleId="Style15" w:customStyle="1">
    <w:name w:val="Интернет-ссылка"/>
    <w:basedOn w:val="DefaultParagraphFont"/>
    <w:uiPriority w:val="99"/>
    <w:semiHidden/>
    <w:unhideWhenUsed/>
    <w:rsid w:val="006e2877"/>
    <w:rPr>
      <w:color w:val="0000FF"/>
      <w:u w:val="single"/>
    </w:rPr>
  </w:style>
  <w:style w:type="character" w:styleId="FontStyle14" w:customStyle="1">
    <w:name w:val="Font Style14"/>
    <w:uiPriority w:val="99"/>
    <w:qFormat/>
    <w:rsid w:val="00ee1706"/>
    <w:rPr>
      <w:rFonts w:ascii="Times New Roman" w:hAnsi="Times New Roman" w:cs="Times New Roman"/>
      <w:sz w:val="22"/>
      <w:szCs w:val="22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b w:val="false"/>
      <w:sz w:val="23"/>
    </w:rPr>
  </w:style>
  <w:style w:type="character" w:styleId="ListLabel5" w:customStyle="1">
    <w:name w:val="ListLabel 5"/>
    <w:qFormat/>
    <w:rPr>
      <w:b w:val="false"/>
      <w:sz w:val="23"/>
    </w:rPr>
  </w:style>
  <w:style w:type="character" w:styleId="ListLabel6" w:customStyle="1">
    <w:name w:val="ListLabel 6"/>
    <w:qFormat/>
    <w:rPr>
      <w:sz w:val="23"/>
    </w:rPr>
  </w:style>
  <w:style w:type="character" w:styleId="ListLabel7" w:customStyle="1">
    <w:name w:val="ListLabel 7"/>
    <w:qFormat/>
    <w:rPr>
      <w:sz w:val="23"/>
    </w:rPr>
  </w:style>
  <w:style w:type="character" w:styleId="ListLabel8" w:customStyle="1">
    <w:name w:val="ListLabel 8"/>
    <w:qFormat/>
    <w:rPr>
      <w:b w:val="false"/>
    </w:rPr>
  </w:style>
  <w:style w:type="character" w:styleId="ListLabel9" w:customStyle="1">
    <w:name w:val="ListLabel 9"/>
    <w:qFormat/>
    <w:rPr>
      <w:b/>
    </w:rPr>
  </w:style>
  <w:style w:type="character" w:styleId="ListLabel10" w:customStyle="1">
    <w:name w:val="ListLabel 10"/>
    <w:qFormat/>
    <w:rPr>
      <w:b w:val="false"/>
    </w:rPr>
  </w:style>
  <w:style w:type="character" w:styleId="ListLabel11" w:customStyle="1">
    <w:name w:val="ListLabel 11"/>
    <w:qFormat/>
    <w:rPr>
      <w:b/>
    </w:rPr>
  </w:style>
  <w:style w:type="character" w:styleId="ListLabel12" w:customStyle="1">
    <w:name w:val="ListLabel 12"/>
    <w:qFormat/>
    <w:rPr/>
  </w:style>
  <w:style w:type="character" w:styleId="ListLabel13" w:customStyle="1">
    <w:name w:val="ListLabel 13"/>
    <w:qFormat/>
    <w:rPr>
      <w:b/>
    </w:rPr>
  </w:style>
  <w:style w:type="character" w:styleId="ListLabel14" w:customStyle="1">
    <w:name w:val="ListLabel 14"/>
    <w:qFormat/>
    <w:rPr>
      <w:b w:val="false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Symbol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b/>
    </w:rPr>
  </w:style>
  <w:style w:type="character" w:styleId="ListLabel25" w:customStyle="1">
    <w:name w:val="ListLabel 25"/>
    <w:qFormat/>
    <w:rPr>
      <w:b/>
    </w:rPr>
  </w:style>
  <w:style w:type="character" w:styleId="ListLabel26" w:customStyle="1">
    <w:name w:val="ListLabel 26"/>
    <w:qFormat/>
    <w:rPr/>
  </w:style>
  <w:style w:type="character" w:styleId="ListLabel27" w:customStyle="1">
    <w:name w:val="ListLabel 27"/>
    <w:qFormat/>
    <w:rPr>
      <w:b/>
    </w:rPr>
  </w:style>
  <w:style w:type="character" w:styleId="ListLabel28" w:customStyle="1">
    <w:name w:val="ListLabel 28"/>
    <w:qFormat/>
    <w:rPr>
      <w:rFonts w:cs="Symbol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Wingdings"/>
    </w:rPr>
  </w:style>
  <w:style w:type="character" w:styleId="ListLabel31" w:customStyle="1">
    <w:name w:val="ListLabel 31"/>
    <w:qFormat/>
    <w:rPr>
      <w:rFonts w:cs="Symbol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Wingdings"/>
    </w:rPr>
  </w:style>
  <w:style w:type="character" w:styleId="ListLabel34" w:customStyle="1">
    <w:name w:val="ListLabel 34"/>
    <w:qFormat/>
    <w:rPr>
      <w:rFonts w:cs="Symbol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Wingdings"/>
    </w:rPr>
  </w:style>
  <w:style w:type="character" w:styleId="ListLabel37" w:customStyle="1">
    <w:name w:val="ListLabel 37"/>
    <w:qFormat/>
    <w:rPr>
      <w:b/>
    </w:rPr>
  </w:style>
  <w:style w:type="character" w:styleId="ListLabel38" w:customStyle="1">
    <w:name w:val="ListLabel 38"/>
    <w:qFormat/>
    <w:rPr>
      <w:b/>
    </w:rPr>
  </w:style>
  <w:style w:type="character" w:styleId="ListLabel39" w:customStyle="1">
    <w:name w:val="ListLabel 39"/>
    <w:qFormat/>
    <w:rPr/>
  </w:style>
  <w:style w:type="character" w:styleId="ListLabel40" w:customStyle="1">
    <w:name w:val="ListLabel 40"/>
    <w:qFormat/>
    <w:rPr>
      <w:b/>
    </w:rPr>
  </w:style>
  <w:style w:type="character" w:styleId="ListLabel41" w:customStyle="1">
    <w:name w:val="ListLabel 41"/>
    <w:qFormat/>
    <w:rPr>
      <w:rFonts w:cs="Symbol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b/>
    </w:rPr>
  </w:style>
  <w:style w:type="character" w:styleId="ListLabel51" w:customStyle="1">
    <w:name w:val="ListLabel 51"/>
    <w:qFormat/>
    <w:rPr>
      <w:b/>
    </w:rPr>
  </w:style>
  <w:style w:type="character" w:styleId="ListLabel52" w:customStyle="1">
    <w:name w:val="ListLabel 52"/>
    <w:qFormat/>
    <w:rPr/>
  </w:style>
  <w:style w:type="character" w:styleId="ListLabel53" w:customStyle="1">
    <w:name w:val="ListLabel 53"/>
    <w:qFormat/>
    <w:rPr>
      <w:b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ListLabel54" w:customStyle="1">
    <w:name w:val="ListLabel 54"/>
    <w:qFormat/>
    <w:rPr>
      <w:rFonts w:cs="Symbol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 w:customStyle="1">
    <w:name w:val="ListLabel 63"/>
    <w:qFormat/>
    <w:rPr>
      <w:b/>
    </w:rPr>
  </w:style>
  <w:style w:type="character" w:styleId="ListLabel64" w:customStyle="1">
    <w:name w:val="ListLabel 64"/>
    <w:qFormat/>
    <w:rPr>
      <w:b/>
    </w:rPr>
  </w:style>
  <w:style w:type="character" w:styleId="ListLabel65" w:customStyle="1">
    <w:name w:val="ListLabel 65"/>
    <w:qFormat/>
    <w:rPr>
      <w:b/>
    </w:rPr>
  </w:style>
  <w:style w:type="character" w:styleId="ListLabel66" w:customStyle="1">
    <w:name w:val="ListLabel 66"/>
    <w:qFormat/>
    <w:rPr>
      <w:rFonts w:cs="Symbol"/>
    </w:rPr>
  </w:style>
  <w:style w:type="character" w:styleId="ListLabel67" w:customStyle="1">
    <w:name w:val="ListLabel 67"/>
    <w:qFormat/>
    <w:rPr>
      <w:rFonts w:cs="Courier New"/>
    </w:rPr>
  </w:style>
  <w:style w:type="character" w:styleId="ListLabel68" w:customStyle="1">
    <w:name w:val="ListLabel 68"/>
    <w:qFormat/>
    <w:rPr>
      <w:rFonts w:cs="Wingdings"/>
    </w:rPr>
  </w:style>
  <w:style w:type="character" w:styleId="ListLabel69" w:customStyle="1">
    <w:name w:val="ListLabel 69"/>
    <w:qFormat/>
    <w:rPr>
      <w:rFonts w:cs="Symbol"/>
    </w:rPr>
  </w:style>
  <w:style w:type="character" w:styleId="ListLabel70" w:customStyle="1">
    <w:name w:val="ListLabel 70"/>
    <w:qFormat/>
    <w:rPr>
      <w:rFonts w:cs="Courier New"/>
    </w:rPr>
  </w:style>
  <w:style w:type="character" w:styleId="ListLabel71" w:customStyle="1">
    <w:name w:val="ListLabel 71"/>
    <w:qFormat/>
    <w:rPr>
      <w:rFonts w:cs="Wingdings"/>
    </w:rPr>
  </w:style>
  <w:style w:type="character" w:styleId="ListLabel72" w:customStyle="1">
    <w:name w:val="ListLabel 72"/>
    <w:qFormat/>
    <w:rPr>
      <w:rFonts w:cs="Symbol"/>
    </w:rPr>
  </w:style>
  <w:style w:type="character" w:styleId="ListLabel73" w:customStyle="1">
    <w:name w:val="ListLabel 73"/>
    <w:qFormat/>
    <w:rPr>
      <w:rFonts w:cs="Courier New"/>
    </w:rPr>
  </w:style>
  <w:style w:type="character" w:styleId="ListLabel74" w:customStyle="1">
    <w:name w:val="ListLabel 74"/>
    <w:qFormat/>
    <w:rPr>
      <w:rFonts w:cs="Wingdings"/>
    </w:rPr>
  </w:style>
  <w:style w:type="character" w:styleId="ListLabel75" w:customStyle="1">
    <w:name w:val="ListLabel 75"/>
    <w:qFormat/>
    <w:rPr>
      <w:b/>
    </w:rPr>
  </w:style>
  <w:style w:type="character" w:styleId="ListLabel76" w:customStyle="1">
    <w:name w:val="ListLabel 76"/>
    <w:qFormat/>
    <w:rPr>
      <w:b/>
    </w:rPr>
  </w:style>
  <w:style w:type="character" w:styleId="ListLabel77" w:customStyle="1">
    <w:name w:val="ListLabel 77"/>
    <w:qFormat/>
    <w:rPr>
      <w:b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Symbol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b/>
    </w:rPr>
  </w:style>
  <w:style w:type="character" w:styleId="ListLabel88">
    <w:name w:val="ListLabel 88"/>
    <w:qFormat/>
    <w:rPr>
      <w:b/>
    </w:rPr>
  </w:style>
  <w:style w:type="character" w:styleId="ListLabel89">
    <w:name w:val="ListLabel 89"/>
    <w:qFormat/>
    <w:rPr>
      <w:b/>
      <w:sz w:val="20"/>
    </w:rPr>
  </w:style>
  <w:style w:type="character" w:styleId="ListLabel90">
    <w:name w:val="ListLabel 90"/>
    <w:qFormat/>
    <w:rPr>
      <w:rFonts w:cs="Symbol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b/>
    </w:rPr>
  </w:style>
  <w:style w:type="character" w:styleId="ListLabel100">
    <w:name w:val="ListLabel 100"/>
    <w:qFormat/>
    <w:rPr>
      <w:b/>
    </w:rPr>
  </w:style>
  <w:style w:type="character" w:styleId="ListLabel101">
    <w:name w:val="ListLabel 101"/>
    <w:qFormat/>
    <w:rPr>
      <w:b/>
      <w:sz w:val="20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Symbol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b/>
    </w:rPr>
  </w:style>
  <w:style w:type="character" w:styleId="ListLabel112">
    <w:name w:val="ListLabel 112"/>
    <w:qFormat/>
    <w:rPr>
      <w:b/>
    </w:rPr>
  </w:style>
  <w:style w:type="character" w:styleId="ListLabel113">
    <w:name w:val="ListLabel 113"/>
    <w:qFormat/>
    <w:rPr>
      <w:b/>
      <w:sz w:val="20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character" w:styleId="ListLabel117">
    <w:name w:val="ListLabel 117"/>
    <w:qFormat/>
    <w:rPr>
      <w:rFonts w:cs="Symbol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b/>
    </w:rPr>
  </w:style>
  <w:style w:type="character" w:styleId="ListLabel124">
    <w:name w:val="ListLabel 124"/>
    <w:qFormat/>
    <w:rPr>
      <w:b/>
    </w:rPr>
  </w:style>
  <w:style w:type="character" w:styleId="ListLabel125">
    <w:name w:val="ListLabel 125"/>
    <w:qFormat/>
    <w:rPr>
      <w:b/>
      <w:sz w:val="20"/>
    </w:rPr>
  </w:style>
  <w:style w:type="character" w:styleId="ListLabel126">
    <w:name w:val="ListLabel 126"/>
    <w:qFormat/>
    <w:rPr>
      <w:rFonts w:cs="Symbol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b/>
    </w:rPr>
  </w:style>
  <w:style w:type="character" w:styleId="ListLabel136">
    <w:name w:val="ListLabel 136"/>
    <w:qFormat/>
    <w:rPr>
      <w:b/>
    </w:rPr>
  </w:style>
  <w:style w:type="character" w:styleId="ListLabel137">
    <w:name w:val="ListLabel 137"/>
    <w:qFormat/>
    <w:rPr>
      <w:b/>
      <w:sz w:val="20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Symbol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b/>
    </w:rPr>
  </w:style>
  <w:style w:type="character" w:styleId="ListLabel148">
    <w:name w:val="ListLabel 148"/>
    <w:qFormat/>
    <w:rPr>
      <w:b/>
    </w:rPr>
  </w:style>
  <w:style w:type="character" w:styleId="ListLabel149">
    <w:name w:val="ListLabel 149"/>
    <w:qFormat/>
    <w:rPr>
      <w:b/>
      <w:sz w:val="20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Symbol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b/>
    </w:rPr>
  </w:style>
  <w:style w:type="character" w:styleId="ListLabel160">
    <w:name w:val="ListLabel 160"/>
    <w:qFormat/>
    <w:rPr>
      <w:b/>
    </w:rPr>
  </w:style>
  <w:style w:type="character" w:styleId="ListLabel161">
    <w:name w:val="ListLabel 161"/>
    <w:qFormat/>
    <w:rPr>
      <w:b/>
      <w:sz w:val="20"/>
    </w:rPr>
  </w:style>
  <w:style w:type="character" w:styleId="ListLabel162">
    <w:name w:val="ListLabel 162"/>
    <w:qFormat/>
    <w:rPr>
      <w:rFonts w:cs="Symbol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Courier New"/>
    </w:rPr>
  </w:style>
  <w:style w:type="character" w:styleId="ListLabel170">
    <w:name w:val="ListLabel 170"/>
    <w:qFormat/>
    <w:rPr>
      <w:rFonts w:cs="Wingdings"/>
    </w:rPr>
  </w:style>
  <w:style w:type="character" w:styleId="ListLabel171">
    <w:name w:val="ListLabel 171"/>
    <w:qFormat/>
    <w:rPr>
      <w:b/>
    </w:rPr>
  </w:style>
  <w:style w:type="character" w:styleId="ListLabel172">
    <w:name w:val="ListLabel 172"/>
    <w:qFormat/>
    <w:rPr>
      <w:b/>
    </w:rPr>
  </w:style>
  <w:style w:type="character" w:styleId="ListLabel173">
    <w:name w:val="ListLabel 173"/>
    <w:qFormat/>
    <w:rPr>
      <w:b/>
      <w:sz w:val="14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Style21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Style22">
    <w:name w:val="Header"/>
    <w:basedOn w:val="Normal"/>
    <w:uiPriority w:val="99"/>
    <w:unhideWhenUsed/>
    <w:rsid w:val="001c7f16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uiPriority w:val="99"/>
    <w:unhideWhenUsed/>
    <w:rsid w:val="001c7f16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a6733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52893"/>
    <w:pPr>
      <w:spacing w:before="0" w:after="200"/>
      <w:ind w:left="720" w:hanging="0"/>
      <w:contextualSpacing/>
    </w:pPr>
    <w:rPr/>
  </w:style>
  <w:style w:type="paragraph" w:styleId="S1" w:customStyle="1">
    <w:name w:val="s_1"/>
    <w:basedOn w:val="Normal"/>
    <w:qFormat/>
    <w:rsid w:val="006e2877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Style24" w:customStyle="1">
    <w:name w:val="Содержимое таблицы"/>
    <w:basedOn w:val="Normal"/>
    <w:qFormat/>
    <w:pPr/>
    <w:rPr/>
  </w:style>
  <w:style w:type="paragraph" w:styleId="Style25" w:customStyle="1">
    <w:name w:val="Заголовок таблицы"/>
    <w:basedOn w:val="Style24"/>
    <w:qFormat/>
    <w:pPr/>
    <w:rPr/>
  </w:style>
  <w:style w:type="paragraph" w:styleId="Style26" w:customStyle="1">
    <w:name w:val="МУ Обычный стиль"/>
    <w:basedOn w:val="Normal"/>
    <w:qFormat/>
    <w:pPr>
      <w:tabs>
        <w:tab w:val="left" w:pos="284" w:leader="none"/>
        <w:tab w:val="left" w:pos="1260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9204" w:leader="none"/>
        <w:tab w:val="left" w:pos="9912" w:leader="none"/>
      </w:tabs>
      <w:suppressAutoHyphens w:val="true"/>
      <w:spacing w:lineRule="auto" w:line="360" w:before="0" w:after="0"/>
      <w:jc w:val="both"/>
    </w:pPr>
    <w:rPr>
      <w:rFonts w:ascii="Times New Roman" w:hAnsi="Times New Roman" w:eastAsia="Times New Roman" w:cs="Times New Roman"/>
      <w:color w:val="00000A"/>
      <w:sz w:val="28"/>
      <w:szCs w:val="28"/>
      <w:lang w:eastAsia="zh-CN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ind w:firstLine="720"/>
      <w:jc w:val="left"/>
    </w:pPr>
    <w:rPr>
      <w:rFonts w:ascii="Arial" w:hAnsi="Arial" w:eastAsia="Arial" w:cs="Liberation Serif"/>
      <w:color w:val="000000"/>
      <w:kern w:val="0"/>
      <w:sz w:val="22"/>
      <w:szCs w:val="24"/>
      <w:lang w:val="ru-RU" w:eastAsia="ar-SA" w:bidi="ar-SA"/>
    </w:rPr>
  </w:style>
  <w:style w:type="paragraph" w:styleId="NormalWeb">
    <w:name w:val="Normal (Web)"/>
    <w:basedOn w:val="Normal"/>
    <w:qFormat/>
    <w:pPr>
      <w:suppressAutoHyphens w:val="true"/>
      <w:spacing w:lineRule="auto" w:line="240" w:before="100" w:after="100"/>
    </w:pPr>
    <w:rPr>
      <w:rFonts w:ascii="Times New Roman" w:hAnsi="Times New Roman" w:eastAsia="Times New Roman"/>
      <w:color w:val="00000A"/>
      <w:sz w:val="18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220634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97522-EF79-477D-BD1E-442D8A20F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Application>LibreOffice/5.4.2.2$Windows_X86_64 LibreOffice_project/22b09f6418e8c2d508a9eaf86b2399209b0990f4</Application>
  <Pages>10</Pages>
  <Words>5682</Words>
  <Characters>40614</Characters>
  <CharactersWithSpaces>45755</CharactersWithSpaces>
  <Paragraphs>759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2016-08-24T12:27:00Z</dcterms:created>
  <dc:creator>User</dc:creator>
  <dc:description/>
  <dc:language>ru-RU</dc:language>
  <cp:lastModifiedBy/>
  <cp:lastPrinted>2017-06-30T11:58:04Z</cp:lastPrinted>
  <dcterms:modified xsi:type="dcterms:W3CDTF">2018-02-28T09:00:48Z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