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142" w:right="0"/>
        <w:jc w:val="center"/>
        <w:rPr>
          <w:rFonts w:ascii="Arial" w:hAnsi="Arial"/>
          <w:b w:val="1"/>
          <w:color w:val="993300"/>
          <w:sz w:val="18"/>
        </w:rPr>
      </w:pPr>
      <w:r>
        <w:rPr>
          <w:rFonts w:ascii="Arial" w:hAnsi="Arial"/>
          <w:color w:val="993300"/>
          <w:sz w:val="32"/>
        </w:rPr>
        <w:t>Перечень услуг для бизнеса , предоставляемых в МФЦ Обливского района (на 15</w:t>
      </w:r>
      <w:r>
        <w:rPr>
          <w:rFonts w:ascii="Arial" w:hAnsi="Arial"/>
          <w:color w:val="993300"/>
          <w:sz w:val="32"/>
        </w:rPr>
        <w:t>.0</w:t>
      </w:r>
      <w:r>
        <w:rPr>
          <w:rFonts w:ascii="Arial" w:hAnsi="Arial"/>
          <w:color w:val="993300"/>
          <w:sz w:val="32"/>
        </w:rPr>
        <w:t>6</w:t>
      </w:r>
      <w:r>
        <w:rPr>
          <w:rFonts w:ascii="Arial" w:hAnsi="Arial"/>
          <w:color w:val="993300"/>
          <w:sz w:val="32"/>
        </w:rPr>
        <w:t>.2026)</w:t>
      </w:r>
    </w:p>
    <w:tbl>
      <w:tblPr>
        <w:tblStyle w:val="Style_1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60"/>
        <w:gridCol w:w="30"/>
        <w:gridCol w:w="30"/>
        <w:gridCol w:w="3315"/>
        <w:gridCol w:w="30"/>
        <w:gridCol w:w="3510"/>
      </w:tblGrid>
      <w:tr>
        <w:trPr>
          <w:trHeight w:hRule="atLeast" w:val="285"/>
          <w:tblHeader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spacing w:after="0" w:before="0" w:line="240" w:lineRule="auto"/>
              <w:ind/>
            </w:pPr>
            <w:r>
              <w:rPr>
                <w:rFonts w:ascii="Arial" w:hAnsi="Arial"/>
                <w:b w:val="1"/>
                <w:color w:val="993300"/>
                <w:sz w:val="18"/>
              </w:rPr>
              <w:t>Наименование услуги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Стоимость (руб.)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Сроки оказания услуги</w:t>
            </w:r>
          </w:p>
        </w:tc>
      </w:tr>
      <w:tr>
        <w:trPr>
          <w:trHeight w:hRule="atLeast" w:val="105"/>
          <w:tblHeader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before="0" w:line="240" w:lineRule="auto"/>
              <w:ind/>
              <w:jc w:val="center"/>
              <w:rPr>
                <w:rFonts w:ascii="Arial" w:hAnsi="Arial"/>
                <w:b w:val="1"/>
                <w:color w:val="993300"/>
                <w:sz w:val="18"/>
              </w:rPr>
            </w:pPr>
          </w:p>
        </w:tc>
      </w:tr>
      <w:tr>
        <w:trPr>
          <w:trHeight w:hRule="atLeast" w:val="108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ФНС</w:t>
            </w:r>
          </w:p>
        </w:tc>
      </w:tr>
      <w:tr>
        <w:trPr>
          <w:trHeight w:hRule="atLeast" w:val="3099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2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передача документов из МФЦ в орган - 3 рабочих дня</w:t>
            </w:r>
          </w:p>
          <w:p w14:paraId="0A000000">
            <w:pPr>
              <w:spacing w:after="0" w:before="0" w:line="240" w:lineRule="auto"/>
              <w:ind w:firstLine="0" w:left="360" w:right="0"/>
              <w:rPr>
                <w:rFonts w:ascii="Arial" w:hAnsi="Arial"/>
                <w:color w:val="623B2A"/>
                <w:sz w:val="18"/>
              </w:rPr>
            </w:pPr>
          </w:p>
          <w:p w14:paraId="0B000000">
            <w:pPr>
              <w:spacing w:after="0" w:before="0" w:line="240" w:lineRule="auto"/>
              <w:ind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2) решение органа:</w:t>
            </w:r>
          </w:p>
          <w:p w14:paraId="0C000000">
            <w:pPr>
              <w:pStyle w:val="Style_2"/>
              <w:numPr>
                <w:ilvl w:val="0"/>
                <w:numId w:val="2"/>
              </w:numPr>
              <w:spacing w:after="0" w:before="0" w:line="240" w:lineRule="auto"/>
              <w:ind w:firstLine="0" w:left="251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14:paraId="0D000000">
            <w:pPr>
              <w:pStyle w:val="Style_2"/>
              <w:numPr>
                <w:ilvl w:val="0"/>
                <w:numId w:val="2"/>
              </w:numPr>
              <w:spacing w:after="0" w:before="0" w:line="240" w:lineRule="auto"/>
              <w:ind w:firstLine="0" w:left="251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14:paraId="0E000000">
            <w:pPr>
              <w:pStyle w:val="Style_2"/>
              <w:numPr>
                <w:ilvl w:val="0"/>
                <w:numId w:val="2"/>
              </w:numPr>
              <w:spacing w:after="0" w:before="0" w:line="240" w:lineRule="auto"/>
              <w:ind w:firstLine="0" w:left="251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решения об отказе – 5 рабочих дней</w:t>
            </w:r>
          </w:p>
          <w:p w14:paraId="0F000000">
            <w:pPr>
              <w:pStyle w:val="Style_2"/>
              <w:numPr>
                <w:ilvl w:val="0"/>
                <w:numId w:val="2"/>
              </w:numPr>
              <w:spacing w:after="0" w:before="0" w:line="240" w:lineRule="auto"/>
              <w:ind w:firstLine="0" w:left="251" w:right="0"/>
              <w:contextualSpacing w:val="1"/>
            </w:pPr>
            <w:r>
              <w:rPr>
                <w:rFonts w:ascii="Arial" w:hAnsi="Arial"/>
                <w:color w:val="623B2A"/>
                <w:sz w:val="18"/>
              </w:rPr>
              <w:t>передача результатов из органа в МФЦ – 1 рабочий день</w:t>
            </w:r>
          </w:p>
        </w:tc>
      </w:tr>
      <w:tr>
        <w:trPr>
          <w:trHeight w:hRule="atLeast" w:val="604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плата 100 руб.</w:t>
            </w:r>
          </w:p>
          <w:p w14:paraId="12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13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spacing w:after="0" w:before="0" w:line="276" w:lineRule="auto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1) передача документов в электронной форме из МФЦ в орган - 1 рабочий день;</w:t>
            </w:r>
          </w:p>
          <w:p w14:paraId="15000000">
            <w:pPr>
              <w:spacing w:after="0" w:before="0" w:line="276" w:lineRule="auto"/>
              <w:ind/>
              <w:contextualSpacing w:val="1"/>
            </w:pPr>
            <w:r>
              <w:rPr>
                <w:rFonts w:ascii="Arial" w:hAnsi="Arial"/>
                <w:color w:val="623B2A"/>
                <w:sz w:val="18"/>
              </w:rPr>
              <w:t>2) срок оказания услуги – 5 дней</w:t>
            </w:r>
          </w:p>
        </w:tc>
      </w:tr>
      <w:tr>
        <w:trPr>
          <w:trHeight w:hRule="atLeast" w:val="318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предоставление сведений – бесплатно;</w:t>
            </w:r>
          </w:p>
          <w:p w14:paraId="18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19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1A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before="0" w:line="240" w:lineRule="auto"/>
              <w:ind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1) передача документов в электронной форме из МФЦ в орган - 1 рабочий день;</w:t>
            </w:r>
          </w:p>
          <w:p w14:paraId="1C000000">
            <w:pPr>
              <w:spacing w:after="0" w:before="0" w:line="240" w:lineRule="auto"/>
              <w:ind/>
              <w:rPr>
                <w:rFonts w:ascii="Arial" w:hAnsi="Arial"/>
                <w:color w:val="623B2A"/>
                <w:sz w:val="18"/>
              </w:rPr>
            </w:pPr>
          </w:p>
          <w:p w14:paraId="1D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2) срок оказания услуги – 5 дней</w:t>
            </w:r>
          </w:p>
        </w:tc>
      </w:tr>
      <w:tr>
        <w:trPr>
          <w:trHeight w:hRule="atLeast" w:val="1599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20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14:paraId="21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22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after="0" w:before="0" w:line="240" w:lineRule="auto"/>
              <w:ind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1) передача документов в электронной форме из МФЦ в орган - 1 рабочий день;</w:t>
            </w:r>
          </w:p>
          <w:p w14:paraId="24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25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2) срок оказания услуги – 5 дней</w:t>
            </w:r>
          </w:p>
        </w:tc>
      </w:tr>
      <w:tr>
        <w:trPr>
          <w:trHeight w:hRule="atLeast" w:val="2661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200" w:before="0" w:line="276" w:lineRule="auto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before="0" w:line="276" w:lineRule="auto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публичное информирование:</w:t>
            </w:r>
          </w:p>
          <w:p w14:paraId="29000000">
            <w:pPr>
              <w:spacing w:after="0" w:before="0" w:line="276" w:lineRule="auto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14:paraId="2A000000">
            <w:pPr>
              <w:spacing w:after="0" w:before="0" w:line="276" w:lineRule="auto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2) размещение информации в МФЦ - 3 рабочих дня</w:t>
            </w:r>
          </w:p>
          <w:p w14:paraId="2B000000">
            <w:pPr>
              <w:spacing w:after="0" w:before="0" w:line="276" w:lineRule="auto"/>
              <w:ind/>
              <w:contextualSpacing w:val="1"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2C000000">
            <w:pPr>
              <w:spacing w:after="0" w:before="0" w:line="276" w:lineRule="auto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индивидуальное информирование:</w:t>
            </w:r>
          </w:p>
          <w:p w14:paraId="2D000000">
            <w:pPr>
              <w:spacing w:after="0" w:before="0" w:line="276" w:lineRule="auto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1) передача документов в электронной форме из МФЦ в орган - 1 рабочий день;</w:t>
            </w:r>
          </w:p>
          <w:p w14:paraId="2E000000">
            <w:pPr>
              <w:spacing w:after="0" w:before="0" w:line="276" w:lineRule="auto"/>
              <w:ind/>
              <w:contextualSpacing w:val="1"/>
            </w:pPr>
            <w:r>
              <w:rPr>
                <w:rFonts w:ascii="Arial" w:hAnsi="Arial"/>
                <w:color w:val="623B2A"/>
                <w:sz w:val="18"/>
              </w:rPr>
              <w:t>2) срок оказания услуги – 30 календарных дней (при продлении - 60 календарных дней)</w:t>
            </w:r>
          </w:p>
        </w:tc>
      </w:tr>
      <w:tr>
        <w:trPr>
          <w:trHeight w:hRule="atLeast" w:val="131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ФССП</w:t>
            </w:r>
          </w:p>
        </w:tc>
      </w:tr>
      <w:tr>
        <w:trPr>
          <w:trHeight w:hRule="atLeast" w:val="870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в день обращения</w:t>
            </w:r>
          </w:p>
        </w:tc>
      </w:tr>
      <w:tr>
        <w:trPr>
          <w:trHeight w:hRule="atLeast" w:val="449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Росреестр</w:t>
            </w:r>
          </w:p>
        </w:tc>
      </w:tr>
      <w:tr>
        <w:trPr>
          <w:trHeight w:hRule="atLeast" w:val="1998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tabs>
                <w:tab w:leader="none" w:pos="250" w:val="left"/>
              </w:tabs>
              <w:spacing w:after="0" w:before="0" w:line="240" w:lineRule="auto"/>
              <w:ind/>
              <w:contextualSpacing w:val="1"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пошлина от 200 до 66 000 рублей</w:t>
            </w:r>
          </w:p>
          <w:p w14:paraId="36000000">
            <w:pPr>
              <w:tabs>
                <w:tab w:leader="none" w:pos="250" w:val="left"/>
              </w:tabs>
              <w:spacing w:after="0" w:before="0" w:line="240" w:lineRule="auto"/>
              <w:ind/>
              <w:contextualSpacing w:val="1"/>
              <w:jc w:val="center"/>
              <w:rPr>
                <w:rFonts w:ascii="Arial" w:hAnsi="Arial"/>
                <w:color w:val="623B2A"/>
                <w:sz w:val="18"/>
              </w:rPr>
            </w:pPr>
          </w:p>
          <w:p w14:paraId="37000000">
            <w:pPr>
              <w:tabs>
                <w:tab w:leader="none" w:pos="250" w:val="left"/>
              </w:tabs>
              <w:spacing w:after="0" w:before="0" w:line="240" w:lineRule="auto"/>
              <w:ind/>
              <w:contextualSpacing w:val="1"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numPr>
                <w:ilvl w:val="0"/>
                <w:numId w:val="3"/>
              </w:numPr>
              <w:tabs>
                <w:tab w:leader="none" w:pos="250" w:val="left"/>
              </w:tabs>
              <w:spacing w:after="0" w:before="0" w:line="240" w:lineRule="auto"/>
              <w:ind w:hanging="1" w:left="10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государственная регистрация прав – 9 рабочих дней</w:t>
            </w:r>
          </w:p>
          <w:p w14:paraId="39000000">
            <w:pPr>
              <w:numPr>
                <w:ilvl w:val="0"/>
                <w:numId w:val="3"/>
              </w:numPr>
              <w:tabs>
                <w:tab w:leader="none" w:pos="265" w:val="left"/>
              </w:tabs>
              <w:spacing w:after="0" w:before="0" w:line="240" w:lineRule="auto"/>
              <w:ind w:hanging="1" w:left="10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государственный кадастровый учет– 7 рабочих дней</w:t>
            </w:r>
          </w:p>
          <w:p w14:paraId="3A000000">
            <w:pPr>
              <w:numPr>
                <w:ilvl w:val="0"/>
                <w:numId w:val="3"/>
              </w:numPr>
              <w:tabs>
                <w:tab w:leader="none" w:pos="265" w:val="left"/>
              </w:tabs>
              <w:spacing w:after="0" w:before="0" w:line="240" w:lineRule="auto"/>
              <w:ind w:hanging="1" w:left="10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государственный кадастровый учета и государственная регистрация прав – 12 рабочих дней</w:t>
            </w:r>
          </w:p>
          <w:p w14:paraId="3B000000">
            <w:pPr>
              <w:numPr>
                <w:ilvl w:val="0"/>
                <w:numId w:val="3"/>
              </w:numPr>
              <w:tabs>
                <w:tab w:leader="none" w:pos="310" w:val="left"/>
              </w:tabs>
              <w:spacing w:after="0" w:before="0" w:line="240" w:lineRule="auto"/>
              <w:ind w:hanging="1" w:left="10" w:right="0"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государственная регистрация ипотеки жилых помещений – 7 рабочих дней</w:t>
            </w:r>
          </w:p>
          <w:p w14:paraId="3C000000">
            <w:pPr>
              <w:numPr>
                <w:ilvl w:val="0"/>
                <w:numId w:val="3"/>
              </w:numPr>
              <w:tabs>
                <w:tab w:leader="none" w:pos="280" w:val="left"/>
              </w:tabs>
              <w:spacing w:after="280" w:before="0" w:line="240" w:lineRule="auto"/>
              <w:ind w:hanging="1" w:left="10" w:right="0"/>
            </w:pPr>
            <w:r>
              <w:rPr>
                <w:rFonts w:ascii="Arial" w:hAnsi="Arial"/>
                <w:color w:val="623B2A"/>
                <w:sz w:val="18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>
        <w:trPr>
          <w:trHeight w:hRule="atLeast" w:val="217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 xml:space="preserve">размер платы от 340 </w:t>
            </w:r>
          </w:p>
          <w:p w14:paraId="3F000000">
            <w:pPr>
              <w:spacing w:after="0" w:before="0" w:line="240" w:lineRule="auto"/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до 10 000 рублей</w:t>
            </w:r>
          </w:p>
          <w:p w14:paraId="40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 w:before="0" w:line="240" w:lineRule="auto"/>
              <w:ind/>
            </w:pPr>
            <w:r>
              <w:rPr>
                <w:rFonts w:ascii="Arial" w:hAnsi="Arial"/>
                <w:color w:val="623B2A"/>
                <w:sz w:val="18"/>
              </w:rPr>
              <w:t>в течение 3 рабочих дней с момента получения сведений, подтверждающих оплату</w:t>
            </w:r>
          </w:p>
        </w:tc>
      </w:tr>
      <w:tr>
        <w:trPr>
          <w:trHeight w:hRule="atLeast" w:val="110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Росимущество</w:t>
            </w:r>
          </w:p>
        </w:tc>
      </w:tr>
      <w:tr>
        <w:trPr>
          <w:trHeight w:hRule="atLeast" w:val="525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передача документов из МФЦ в орган - в день обращения</w:t>
            </w:r>
          </w:p>
        </w:tc>
      </w:tr>
      <w:tr>
        <w:trPr>
          <w:trHeight w:hRule="atLeast" w:val="362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400 рублей за каждый объект</w:t>
            </w:r>
          </w:p>
          <w:p w14:paraId="48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5 рабочих дней со дня поступления запроса в орган</w:t>
            </w:r>
          </w:p>
        </w:tc>
      </w:tr>
      <w:tr>
        <w:trPr>
          <w:trHeight w:hRule="atLeast" w:val="140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Фонд пенсионного и социального страхования Российской Федерации</w:t>
            </w:r>
          </w:p>
        </w:tc>
      </w:tr>
      <w:tr>
        <w:trPr>
          <w:trHeight w:hRule="atLeast" w:val="1333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before="0"/>
              <w:ind/>
              <w:contextualSpacing w:val="1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1) передача документов из МФЦ в Орган – 1 рабочий день</w:t>
            </w:r>
          </w:p>
          <w:p w14:paraId="4E000000">
            <w:pPr>
              <w:spacing w:after="0" w:before="0"/>
              <w:ind/>
              <w:contextualSpacing w:val="1"/>
            </w:pPr>
            <w:r>
              <w:rPr>
                <w:rFonts w:ascii="Arial" w:hAnsi="Arial"/>
                <w:color w:val="623B2A"/>
                <w:sz w:val="18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>
        <w:trPr>
          <w:trHeight w:hRule="atLeast" w:val="1273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передача документов из МФЦ в Орган – 1 рабочий день</w:t>
            </w:r>
          </w:p>
          <w:p w14:paraId="52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Фонда.</w:t>
            </w:r>
          </w:p>
        </w:tc>
      </w:tr>
      <w:tr>
        <w:trPr>
          <w:trHeight w:hRule="atLeast" w:val="75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Региональные услуги</w:t>
            </w:r>
          </w:p>
        </w:tc>
      </w:tr>
      <w:tr>
        <w:trPr>
          <w:trHeight w:hRule="atLeast" w:val="112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>
          <w:trHeight w:hRule="atLeast" w:val="858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10 календарных дней</w:t>
            </w:r>
          </w:p>
        </w:tc>
      </w:tr>
      <w:tr>
        <w:trPr>
          <w:trHeight w:hRule="atLeast" w:val="264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10 календарных дней</w:t>
            </w:r>
          </w:p>
        </w:tc>
      </w:tr>
      <w:tr>
        <w:trPr>
          <w:trHeight w:hRule="atLeast" w:val="417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hRule="atLeast" w:val="283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30 рабочих дней</w:t>
            </w:r>
          </w:p>
        </w:tc>
      </w:tr>
      <w:tr>
        <w:trPr>
          <w:trHeight w:hRule="atLeast" w:val="90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30 рабочих дней</w:t>
            </w:r>
          </w:p>
        </w:tc>
      </w:tr>
      <w:tr>
        <w:trPr>
          <w:trHeight w:hRule="atLeast" w:val="242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Предоставление права пользования недрами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before="0"/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государственная пошлина – 7500 рублей</w:t>
            </w:r>
          </w:p>
          <w:p w14:paraId="64000000">
            <w:pPr>
              <w:spacing w:after="0" w:before="0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95 рабочих дней</w:t>
            </w:r>
          </w:p>
        </w:tc>
      </w:tr>
      <w:tr>
        <w:trPr>
          <w:trHeight w:hRule="atLeast" w:val="315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Внесение изменений в лицензию на право пользования недрами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0" w:before="0"/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государственная пошлина – 750 рублей</w:t>
            </w:r>
          </w:p>
          <w:p w14:paraId="68000000">
            <w:pPr>
              <w:spacing w:after="0" w:before="0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90 рабочих дней</w:t>
            </w:r>
          </w:p>
        </w:tc>
      </w:tr>
      <w:tr>
        <w:trPr>
          <w:trHeight w:hRule="atLeast" w:val="124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Переоформление лицензии на право пользования недрами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государственная пошлина – 750 рублей</w:t>
            </w:r>
          </w:p>
          <w:p w14:paraId="6C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90 рабочих дней</w:t>
            </w:r>
          </w:p>
        </w:tc>
      </w:tr>
      <w:tr>
        <w:trPr>
          <w:trHeight w:hRule="atLeast" w:val="1012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Прекращение права пользования недрами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государственная пошлина – 750 рублей</w:t>
            </w:r>
          </w:p>
          <w:p w14:paraId="70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60 рабочих дней</w:t>
            </w:r>
          </w:p>
        </w:tc>
      </w:tr>
      <w:tr>
        <w:trPr>
          <w:trHeight w:hRule="atLeast" w:val="1101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 xml:space="preserve">государственная пошлина - 650 рублей; </w:t>
            </w:r>
          </w:p>
          <w:p w14:paraId="74000000">
            <w:pPr>
              <w:ind/>
              <w:jc w:val="center"/>
              <w:rPr>
                <w:rFonts w:ascii="Arial" w:hAnsi="Arial"/>
                <w:i w:val="1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14:paraId="75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i w:val="1"/>
                <w:color w:val="623B2A"/>
                <w:sz w:val="18"/>
              </w:rPr>
              <w:t>В МФЦ доступна безналичная оплата пошлины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0"/>
              <w:numPr>
                <w:ilvl w:val="0"/>
                <w:numId w:val="0"/>
              </w:numPr>
              <w:spacing w:after="160" w:before="0"/>
              <w:ind w:firstLine="0" w:left="0" w:right="0"/>
              <w:outlineLvl w:val="2"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- 5 рабочих дней</w:t>
            </w:r>
          </w:p>
        </w:tc>
      </w:tr>
      <w:tr>
        <w:trPr>
          <w:trHeight w:hRule="atLeast" w:val="222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Управление ветеринарии Ростовской области</w:t>
            </w:r>
          </w:p>
        </w:tc>
      </w:tr>
      <w:tr>
        <w:trPr>
          <w:trHeight w:hRule="atLeast" w:val="777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10 рабочих дней</w:t>
            </w:r>
          </w:p>
        </w:tc>
      </w:tr>
      <w:tr>
        <w:trPr>
          <w:trHeight w:hRule="atLeast" w:val="84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Комитет по управлению архивным делом Ростовской области</w:t>
            </w:r>
          </w:p>
        </w:tc>
      </w:tr>
      <w:tr>
        <w:trPr>
          <w:trHeight w:hRule="atLeast" w:val="315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before="0" w:line="240" w:lineRule="auto"/>
              <w:ind/>
              <w:jc w:val="center"/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 xml:space="preserve">Бесплатно, </w:t>
            </w:r>
          </w:p>
          <w:p w14:paraId="7E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rPr>
                <w:rFonts w:ascii="Arial" w:hAnsi="Arial"/>
                <w:color w:val="623B2A"/>
                <w:sz w:val="18"/>
              </w:rPr>
            </w:pPr>
            <w:r>
              <w:rPr>
                <w:rFonts w:ascii="Arial" w:hAnsi="Arial"/>
                <w:color w:val="623B2A"/>
                <w:sz w:val="18"/>
              </w:rPr>
              <w:t>30 календарных дней.</w:t>
            </w:r>
          </w:p>
          <w:p w14:paraId="80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>
        <w:trPr>
          <w:trHeight w:hRule="atLeast" w:val="116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Типовые муниципальные услуги</w:t>
            </w:r>
          </w:p>
        </w:tc>
      </w:tr>
      <w:tr>
        <w:trPr>
          <w:trHeight w:hRule="atLeast" w:val="579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Муниципальные услуги в сфере земельно-имущественных отношений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10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Заключение договоров аренды (за исключением земельных участков) на новый срок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 рабочий день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Заключение дополнительных соглашений к договорам аренды муниципального имущества (за исключением земельных  участков)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10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15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Уточнение вида и принадлежности платежей по арендной  плате или возврат излишне оплаченных денежных средств за муниципальное имущество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15 рабочих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календарных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Предоставление правообладателю объектов муниципальной собственности, а также земельных участков, государственная собственность на которые не разграничена, расположенных на территории Обливского района заверенных копий правоустанавливающих документов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before="0"/>
              <w:ind w:right="0"/>
              <w:contextualSpacing w:val="1"/>
              <w:jc w:val="center"/>
              <w:rPr>
                <w:rFonts w:ascii="Arial" w:hAnsi="Arial"/>
                <w:b w:val="1"/>
                <w:color w:val="993300"/>
                <w:spacing w:val="0"/>
                <w:sz w:val="18"/>
              </w:rPr>
            </w:pP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 в аренду без проведения торгов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spacing w:after="0" w:before="0"/>
              <w:ind w:right="0"/>
              <w:contextualSpacing w:val="1"/>
              <w:jc w:val="center"/>
              <w:rPr>
                <w:rFonts w:ascii="Arial" w:hAnsi="Arial"/>
                <w:b w:val="1"/>
                <w:color w:val="993300"/>
                <w:spacing w:val="0"/>
                <w:sz w:val="18"/>
              </w:rPr>
            </w:pP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Утверждение схемы расположения земельного участка на  кадастровом плане территории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spacing w:after="0" w:before="0"/>
              <w:ind w:right="0"/>
              <w:contextualSpacing w:val="1"/>
              <w:jc w:val="center"/>
              <w:rPr>
                <w:rFonts w:ascii="Arial" w:hAnsi="Arial"/>
                <w:b w:val="1"/>
                <w:color w:val="993300"/>
                <w:spacing w:val="0"/>
                <w:sz w:val="18"/>
              </w:rPr>
            </w:pPr>
          </w:p>
        </w:tc>
      </w:tr>
      <w:tr>
        <w:trPr>
          <w:trHeight w:hRule="atLeast" w:val="101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Муниципальные услуги в сфере архитектуры и градостроительства</w:t>
            </w:r>
          </w:p>
        </w:tc>
      </w:tr>
      <w:tr>
        <w:trPr>
          <w:trHeight w:hRule="atLeast" w:val="615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7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Предоставление разрешения на ввод объекта в эксплуатацию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7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45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Подготовка Градостроительного плана земельного участка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дней.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60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10 дней</w:t>
            </w:r>
          </w:p>
        </w:tc>
      </w:tr>
      <w:tr>
        <w:trPr>
          <w:trHeight w:hRule="atLeast" w:val="122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Муниципальные услуги в сфере архивного дела</w:t>
            </w:r>
          </w:p>
        </w:tc>
      </w:tr>
      <w:tr>
        <w:trPr>
          <w:trHeight w:hRule="atLeast" w:val="1027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before="0"/>
              <w:ind w:right="0"/>
              <w:contextualSpacing w:val="1"/>
              <w:jc w:val="center"/>
              <w:rPr>
                <w:rFonts w:ascii="Arial" w:hAnsi="Arial"/>
                <w:b w:val="1"/>
                <w:color w:val="993300"/>
                <w:spacing w:val="0"/>
                <w:sz w:val="18"/>
              </w:rPr>
            </w:pPr>
          </w:p>
        </w:tc>
      </w:tr>
      <w:tr>
        <w:trPr>
          <w:trHeight w:hRule="atLeast" w:val="140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Дополнительные муниципальные услуги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Оказание консультационной поддержки субъектам малого и среднего предпринимательства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30  дней</w:t>
            </w:r>
          </w:p>
        </w:tc>
      </w:tr>
      <w:tr>
        <w:trPr>
          <w:trHeight w:hRule="atLeast" w:val="579"/>
        </w:trPr>
        <w:tc>
          <w:tcPr>
            <w:tcW w:type="dxa" w:w="4020"/>
            <w:gridSpan w:val="3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Субсидирование субъектов малого и среднего предпринимательства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50 рабочих дней</w:t>
            </w:r>
          </w:p>
        </w:tc>
      </w:tr>
      <w:tr>
        <w:trPr>
          <w:trHeight w:hRule="atLeast" w:val="87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>Негосударственные услуги</w:t>
            </w:r>
          </w:p>
        </w:tc>
      </w:tr>
      <w:tr>
        <w:trPr>
          <w:trHeight w:hRule="atLeast" w:val="111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before="0" w:line="240" w:lineRule="auto"/>
              <w:ind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 w:before="0" w:line="240" w:lineRule="auto"/>
              <w:ind/>
              <w:jc w:val="center"/>
            </w:pPr>
            <w:r>
              <w:rPr>
                <w:rFonts w:ascii="Arial" w:hAnsi="Arial"/>
                <w:b w:val="1"/>
                <w:color w:val="993300"/>
                <w:sz w:val="18"/>
              </w:rPr>
              <w:t xml:space="preserve">Корпорация МСП 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before="0" w:line="240" w:lineRule="auto"/>
              <w:ind/>
              <w:rPr>
                <w:rFonts w:ascii="Arial" w:hAnsi="Arial"/>
                <w:b w:val="1"/>
                <w:color w:val="000000"/>
                <w:sz w:val="18"/>
              </w:rPr>
            </w:pPr>
          </w:p>
        </w:tc>
      </w:tr>
      <w:tr>
        <w:trPr>
          <w:trHeight w:hRule="atLeast" w:val="129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Услуга по информированию о Цифровой платформе МСП.РФ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срок оказания услуги – 1 рабочий день</w:t>
            </w:r>
          </w:p>
        </w:tc>
      </w:tr>
      <w:tr>
        <w:trPr>
          <w:trHeight w:hRule="atLeast" w:val="315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before="0" w:line="240" w:lineRule="auto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АНО «РРАПП»</w:t>
            </w:r>
          </w:p>
        </w:tc>
      </w:tr>
      <w:tr>
        <w:trPr>
          <w:trHeight w:hRule="atLeast" w:val="315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день обращения</w:t>
            </w:r>
          </w:p>
        </w:tc>
      </w:tr>
      <w:tr>
        <w:trPr>
          <w:trHeight w:hRule="atLeast" w:val="315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день обращения</w:t>
            </w:r>
          </w:p>
        </w:tc>
      </w:tr>
      <w:tr>
        <w:trPr>
          <w:trHeight w:hRule="atLeast" w:val="315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Услуги акционерного общества «Донэнерго»</w:t>
            </w:r>
          </w:p>
        </w:tc>
      </w:tr>
      <w:tr>
        <w:trPr>
          <w:trHeight w:hRule="atLeast" w:val="315"/>
        </w:trPr>
        <w:tc>
          <w:tcPr>
            <w:tcW w:type="dxa" w:w="399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Прием заявки на технологическое присоединение физического лица (за исключением технологического присоединения энергопринимающих устройств, максимальная мощность которых составляет до 15 кВт включительно, с учетом ранее присоединенных в данной точке присоединения энергопринимающих 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источнику)</w:t>
            </w:r>
          </w:p>
        </w:tc>
        <w:tc>
          <w:tcPr>
            <w:tcW w:type="dxa" w:w="3345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день обращения</w:t>
            </w:r>
          </w:p>
        </w:tc>
      </w:tr>
      <w:tr>
        <w:trPr>
          <w:trHeight w:hRule="atLeast" w:val="315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кВт, включительно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день обращения</w:t>
            </w:r>
          </w:p>
        </w:tc>
      </w:tr>
      <w:tr>
        <w:trPr>
          <w:trHeight w:hRule="atLeast" w:val="381"/>
        </w:trPr>
        <w:tc>
          <w:tcPr>
            <w:tcW w:type="dxa" w:w="10875"/>
            <w:gridSpan w:val="6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Услуги по приему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</w:tr>
      <w:tr>
        <w:trPr>
          <w:trHeight w:hRule="atLeast" w:val="381"/>
        </w:trPr>
        <w:tc>
          <w:tcPr>
            <w:tcW w:type="dxa" w:w="396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Прием документов на 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type="dxa" w:w="3405"/>
            <w:gridSpan w:val="4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Кадастровые работы, в связи с образованием земельного участка путем:</w:t>
            </w:r>
          </w:p>
          <w:p w14:paraId="F5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-объединение земельных участков;</w:t>
            </w:r>
          </w:p>
          <w:p w14:paraId="F6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-раздел земельного участка;</w:t>
            </w:r>
          </w:p>
          <w:p w14:paraId="F7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-перераспределение земельных участков;</w:t>
            </w:r>
          </w:p>
          <w:p w14:paraId="F8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-образование из земель, находящихся в государственной или муниципальной собственности;</w:t>
            </w:r>
          </w:p>
          <w:p w14:paraId="F9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- уточнение местоположения границы и (или) площади земельного участка</w:t>
            </w:r>
          </w:p>
          <w:p w14:paraId="FA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- исправление реестровой ошибки:</w:t>
            </w:r>
          </w:p>
          <w:p w14:paraId="FB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17 700 руб. (межевой план)</w:t>
            </w:r>
          </w:p>
          <w:p w14:paraId="FC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и при необходимости схема расположения земельного участка на КПТ )</w:t>
            </w:r>
          </w:p>
          <w:p w14:paraId="FD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7 100 руб.</w:t>
            </w:r>
          </w:p>
          <w:p w14:paraId="FE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Кадастровые работы,  в связи с выделом  в счет доли (долей) в праве общей собственности на земельный участок::</w:t>
            </w:r>
          </w:p>
          <w:p w14:paraId="FF00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проект межевания</w:t>
            </w:r>
          </w:p>
          <w:p w14:paraId="00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14 200 руб.  за 1 долю пастбища</w:t>
            </w:r>
          </w:p>
          <w:p w14:paraId="01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14 200 руб.  за 1 Га пашни;</w:t>
            </w:r>
          </w:p>
          <w:p w14:paraId="02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межевой план</w:t>
            </w:r>
          </w:p>
          <w:p w14:paraId="03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17 700 за 1 долю пастбища</w:t>
            </w:r>
          </w:p>
          <w:p w14:paraId="04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1 600 за 1 Га пашни.</w:t>
            </w:r>
          </w:p>
          <w:p w14:paraId="05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Геодезические работы, связанные с указанием на местности местоположения поворотных точек земельного участка (вынос точек в натуру) близлежащие территории</w:t>
            </w:r>
          </w:p>
          <w:p w14:paraId="06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1 200 руб.  за 1 точку.</w:t>
            </w:r>
          </w:p>
          <w:p w14:paraId="07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Геодезические работы, связанные  с указанием на местности  местоположения поворотных точек земельного участка (вынос точек в натуру) удаленные территории:</w:t>
            </w:r>
          </w:p>
          <w:p w14:paraId="08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1 200 руб.  за 1 точку,</w:t>
            </w:r>
          </w:p>
          <w:p w14:paraId="09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1 000 руб.  за выезд.</w:t>
            </w:r>
          </w:p>
          <w:p w14:paraId="0A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Кадастровые работы,  в связи с изготовлением технического плана объекта недвижимости</w:t>
            </w:r>
          </w:p>
          <w:p w14:paraId="0B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14 200 руб.</w:t>
            </w:r>
          </w:p>
          <w:p w14:paraId="0C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Выезд и определение координат поворотных точек объекта  недвижимого имущества (строение, земельный участок):</w:t>
            </w:r>
          </w:p>
          <w:p w14:paraId="0D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1 200 руб.  за 1 точку,</w:t>
            </w:r>
          </w:p>
          <w:p w14:paraId="0E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1 000 руб.  за выезд.</w:t>
            </w:r>
          </w:p>
          <w:p w14:paraId="0F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Изготовление схемы раздела объектов недвижимости для суда– 23 600 руб.</w:t>
            </w:r>
          </w:p>
          <w:p w14:paraId="10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КПТ:</w:t>
            </w:r>
          </w:p>
          <w:p w14:paraId="11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1 200 руб.  за 1 точку,</w:t>
            </w:r>
          </w:p>
          <w:p w14:paraId="12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1 000 руб.  за выезд.</w:t>
            </w:r>
          </w:p>
          <w:p w14:paraId="13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Изготовление акта обследования объекта капитального строительства</w:t>
            </w:r>
          </w:p>
          <w:p w14:paraId="14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7 100 руб.</w:t>
            </w:r>
          </w:p>
          <w:p w14:paraId="15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Изготовление заключения кадастрового инженера</w:t>
            </w:r>
          </w:p>
          <w:p w14:paraId="1601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2 400 руб.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течение 10 рабочих дней с момента приема документов от МФЦ:</w:t>
            </w:r>
          </w:p>
          <w:p w14:paraId="18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кадастровые работы, в связи с образованием земельного участка;</w:t>
            </w:r>
          </w:p>
          <w:p w14:paraId="19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геодезические работы, связанные с указанием на местности местоположения поворотных точек земельного участка (вынос точек в натуру) удаленные территории.</w:t>
            </w:r>
          </w:p>
          <w:p w14:paraId="1A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течение 30 календарных дней после публикации в официальном издании:</w:t>
            </w:r>
          </w:p>
          <w:p w14:paraId="1B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кадастровые работы,  в связи с выделом  в счет доли (долей) в праве общей собственности на земельный участок.</w:t>
            </w:r>
          </w:p>
          <w:p w14:paraId="1C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В течение 7 рабочих дней с момента приема документов от МФЦ:</w:t>
            </w:r>
          </w:p>
          <w:p w14:paraId="1D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геодезические работы, связанные с указанием на местности местоположения поворотных точек земельного участка (вынос точек в натуру) близлежащие территории;</w:t>
            </w:r>
          </w:p>
          <w:p w14:paraId="1E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кадастровые работы,  в связи с изготовлением технического плана объекта недвижимости;</w:t>
            </w:r>
          </w:p>
          <w:p w14:paraId="1F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выезд и определение координат поворотных точек объекта  недвижимого имущества (строение, земельный участок);</w:t>
            </w:r>
          </w:p>
          <w:p w14:paraId="20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изготовление схемы раздела объектов недвижимости  для суда;</w:t>
            </w:r>
          </w:p>
          <w:p w14:paraId="21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КПТ;</w:t>
            </w:r>
          </w:p>
          <w:p w14:paraId="22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изготовление акта обследования объекта капитального строительства;</w:t>
            </w:r>
          </w:p>
          <w:p w14:paraId="2301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–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 xml:space="preserve"> </w:t>
            </w:r>
            <w:r>
              <w:rPr>
                <w:rFonts w:ascii="Arial" w:hAnsi="Arial"/>
                <w:color w:val="623B2A"/>
                <w:spacing w:val="0"/>
                <w:sz w:val="18"/>
              </w:rPr>
              <w:t>изготовление заключения кадастрового инженера..</w:t>
            </w:r>
          </w:p>
        </w:tc>
      </w:tr>
      <w:tr>
        <w:trPr>
          <w:trHeight w:hRule="atLeast" w:val="110"/>
        </w:trPr>
        <w:tc>
          <w:tcPr>
            <w:tcW w:type="dxa" w:w="10875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spacing w:after="0" w:before="0"/>
              <w:ind w:right="0"/>
              <w:contextualSpacing w:val="1"/>
              <w:jc w:val="center"/>
            </w:pPr>
            <w:r>
              <w:rPr>
                <w:rFonts w:ascii="Arial" w:hAnsi="Arial"/>
                <w:b w:val="1"/>
                <w:color w:val="993300"/>
                <w:spacing w:val="0"/>
                <w:sz w:val="18"/>
              </w:rPr>
              <w:t>Услуги по переводу документов с иностранного языка на русский</w:t>
            </w:r>
          </w:p>
        </w:tc>
      </w:tr>
      <w:tr>
        <w:trPr>
          <w:trHeight w:hRule="atLeast" w:val="5181"/>
        </w:trPr>
        <w:tc>
          <w:tcPr>
            <w:tcW w:type="dxa" w:w="396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spacing w:after="0" w:before="0"/>
              <w:ind w:right="0"/>
              <w:contextualSpacing w:val="1"/>
              <w:jc w:val="both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Перевод документов с иностранных языков на русский язык</w:t>
            </w:r>
          </w:p>
          <w:p w14:paraId="2601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(перевод документов на русский язык осуществляется с английского, азербайджанского, армянского, белорусского, грузинского, казахского, узбекского, украинского языков)</w:t>
            </w:r>
          </w:p>
        </w:tc>
        <w:tc>
          <w:tcPr>
            <w:tcW w:type="dxa" w:w="3405"/>
            <w:gridSpan w:val="4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spacing w:after="0" w:before="0"/>
              <w:ind w:right="0"/>
              <w:contextualSpacing w:val="1"/>
              <w:jc w:val="left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За перевод документа без нотариального заверения (паспорт, внутренний паспорт, пластиковый паспорт, загранпаспорт, свидетельство о рождении, браке иной документ ЗАГС, водительское удостоверение, выписка, аттестат об образовании без приложения, приложение к аттестату об образовании, справка, трудовая книжка) – 1080 руб. Стоимость перевода документа за 1 лист без нотариального заверения (решение суда, доверенность) – 1200 руб. Стоимость  нотариального удостоверения подписи перевода за 1 документ – 600 руб. Нотариальное удостоверение копий документов осуществляется по следующему тарифу:</w:t>
            </w:r>
          </w:p>
          <w:p w14:paraId="28010000">
            <w:pPr>
              <w:spacing w:after="0" w:before="0"/>
              <w:ind w:right="0"/>
              <w:contextualSpacing w:val="1"/>
              <w:jc w:val="left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 стр.–600 руб.; 2 стр.–700 руб.;</w:t>
            </w:r>
          </w:p>
          <w:p w14:paraId="29010000">
            <w:pPr>
              <w:spacing w:after="0" w:before="0"/>
              <w:ind w:right="0"/>
              <w:contextualSpacing w:val="1"/>
              <w:jc w:val="left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3 стр.–800 руб.; 4 стр.–900 руб.;</w:t>
            </w:r>
          </w:p>
          <w:p w14:paraId="2A010000">
            <w:pPr>
              <w:spacing w:after="0" w:before="0"/>
              <w:ind w:right="0"/>
              <w:contextualSpacing w:val="1"/>
              <w:jc w:val="left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5 стр.–1000руб.; 6 стр.–1100 руб;</w:t>
            </w:r>
          </w:p>
          <w:p w14:paraId="2B010000">
            <w:pPr>
              <w:spacing w:after="0" w:before="0"/>
              <w:ind w:right="0"/>
              <w:contextualSpacing w:val="1"/>
              <w:jc w:val="left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7 стр.–1200руб;8 стр.–1300руб;</w:t>
            </w:r>
          </w:p>
          <w:p w14:paraId="2C010000">
            <w:pPr>
              <w:spacing w:after="0" w:before="0"/>
              <w:ind w:right="0"/>
              <w:contextualSpacing w:val="1"/>
              <w:jc w:val="left"/>
              <w:rPr>
                <w:rFonts w:ascii="Arial" w:hAnsi="Arial"/>
                <w:color w:val="623B2A"/>
                <w:spacing w:val="0"/>
                <w:sz w:val="18"/>
              </w:rPr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9 стр.–1400руб;10стр.–1500руб;</w:t>
            </w:r>
          </w:p>
          <w:p w14:paraId="2D010000">
            <w:pPr>
              <w:spacing w:after="0" w:before="0"/>
              <w:ind w:right="0"/>
              <w:contextualSpacing w:val="1"/>
              <w:jc w:val="left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11стр.–1600руб;12стр.–1700руб; за каждую последующую страницу –100руб.</w:t>
            </w:r>
          </w:p>
        </w:tc>
        <w:tc>
          <w:tcPr>
            <w:tcW w:type="dxa" w:w="3510"/>
            <w:shd w:fill="F5EAE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 w:before="0"/>
              <w:ind w:right="0"/>
              <w:contextualSpacing w:val="1"/>
              <w:jc w:val="both"/>
            </w:pPr>
            <w:r>
              <w:rPr>
                <w:rFonts w:ascii="Arial" w:hAnsi="Arial"/>
                <w:color w:val="623B2A"/>
                <w:spacing w:val="0"/>
                <w:sz w:val="18"/>
              </w:rPr>
              <w:t>в течение 3 рабочих дней с момента приема документов от МФЦ (сроки нотариального удостоверения не регламентируются, зависят от графика работы нотариуса)</w:t>
            </w:r>
          </w:p>
        </w:tc>
      </w:tr>
      <w:tr>
        <w:trPr>
          <w:trHeight w:hRule="atLeast" w:val="104"/>
        </w:trPr>
        <w:tc>
          <w:tcPr>
            <w:tcW w:type="dxa" w:w="39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Регистрация граждан в ЕСИА</w:t>
            </w:r>
          </w:p>
        </w:tc>
        <w:tc>
          <w:tcPr>
            <w:tcW w:type="dxa" w:w="33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160" w:before="0"/>
              <w:ind/>
              <w:jc w:val="center"/>
            </w:pPr>
            <w:r>
              <w:rPr>
                <w:rFonts w:ascii="Arial" w:hAnsi="Arial"/>
                <w:color w:val="623B2A"/>
                <w:sz w:val="18"/>
              </w:rPr>
              <w:t>бесплатно</w:t>
            </w:r>
          </w:p>
        </w:tc>
        <w:tc>
          <w:tcPr>
            <w:tcW w:type="dxa" w:w="354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spacing w:after="160" w:before="0"/>
              <w:ind/>
            </w:pPr>
            <w:r>
              <w:rPr>
                <w:rFonts w:ascii="Arial" w:hAnsi="Arial"/>
                <w:color w:val="623B2A"/>
                <w:sz w:val="18"/>
              </w:rPr>
              <w:t>в день обращения</w:t>
            </w:r>
          </w:p>
        </w:tc>
      </w:tr>
    </w:tbl>
    <w:p w14:paraId="32010000">
      <w:pPr>
        <w:spacing w:after="160" w:before="0"/>
        <w:ind w:right="7029"/>
        <w:rPr>
          <w:rFonts w:ascii="Arial" w:hAnsi="Arial"/>
          <w:color w:val="623B2A"/>
          <w:sz w:val="21"/>
          <w:highlight w:val="white"/>
        </w:rPr>
      </w:pPr>
    </w:p>
    <w:sectPr>
      <w:pgSz w:h="16838" w:orient="portrait" w:w="11906"/>
      <w:pgMar w:bottom="284" w:footer="708" w:header="708" w:left="283" w:right="283" w:top="283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36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0" w:val="left"/>
        </w:tabs>
        <w:ind w:hanging="360" w:left="1440"/>
      </w:pPr>
      <w:rPr>
        <w:rFonts w:ascii="Symbol" w:hAnsi="Symbol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502"/>
      </w:pPr>
      <w:rPr>
        <w:b w:val="0"/>
      </w:rPr>
    </w:lvl>
  </w:abstractNum>
  <w:abstractNum w:abstractNumId="3">
    <w:lvl w:ilvl="0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88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52" w:lineRule="auto"/>
      <w:ind/>
    </w:pPr>
    <w:rPr>
      <w:rFonts w:ascii="Calibri" w:hAnsi="Calibri"/>
      <w:color w:val="00000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3"/>
    <w:link w:val="Style_5_ch"/>
    <w:pPr>
      <w:spacing w:after="0" w:before="0" w:line="240" w:lineRule="auto"/>
      <w:ind/>
    </w:pPr>
  </w:style>
  <w:style w:styleId="Style_5_ch" w:type="character">
    <w:name w:val="footer"/>
    <w:basedOn w:val="Style_3_ch"/>
    <w:link w:val="Style_5"/>
  </w:style>
  <w:style w:styleId="Style_6" w:type="paragraph">
    <w:name w:val="WW8Num10z0"/>
    <w:link w:val="Style_6_ch"/>
  </w:style>
  <w:style w:styleId="Style_6_ch" w:type="character">
    <w:name w:val="WW8Num10z0"/>
    <w:link w:val="Style_6"/>
  </w:style>
  <w:style w:styleId="Style_7" w:type="paragraph">
    <w:name w:val="WW8Num20z2"/>
    <w:link w:val="Style_7_ch"/>
    <w:rPr>
      <w:rFonts w:ascii="Wingdings" w:hAnsi="Wingdings"/>
    </w:rPr>
  </w:style>
  <w:style w:styleId="Style_7_ch" w:type="character">
    <w:name w:val="WW8Num20z2"/>
    <w:link w:val="Style_7"/>
    <w:rPr>
      <w:rFonts w:ascii="Wingdings" w:hAnsi="Wingdings"/>
    </w:rPr>
  </w:style>
  <w:style w:styleId="Style_8" w:type="paragraph">
    <w:name w:val="Заголовок таблицы"/>
    <w:basedOn w:val="Style_9"/>
    <w:link w:val="Style_8_ch"/>
    <w:pPr>
      <w:ind/>
      <w:jc w:val="center"/>
    </w:pPr>
    <w:rPr>
      <w:b w:val="1"/>
    </w:rPr>
  </w:style>
  <w:style w:styleId="Style_8_ch" w:type="character">
    <w:name w:val="Заголовок таблицы"/>
    <w:basedOn w:val="Style_9_ch"/>
    <w:link w:val="Style_8"/>
    <w:rPr>
      <w:b w:val="1"/>
    </w:rPr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Текст сноски Знак"/>
    <w:link w:val="Style_15_ch"/>
    <w:rPr>
      <w:sz w:val="20"/>
    </w:rPr>
  </w:style>
  <w:style w:styleId="Style_15_ch" w:type="character">
    <w:name w:val="Текст сноски Знак"/>
    <w:link w:val="Style_15"/>
    <w:rPr>
      <w:sz w:val="20"/>
    </w:rPr>
  </w:style>
  <w:style w:styleId="Style_16" w:type="paragraph">
    <w:name w:val="Endnote"/>
    <w:basedOn w:val="Style_3"/>
    <w:link w:val="Style_16_ch"/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next w:val="Style_3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Указатель"/>
    <w:basedOn w:val="Style_3"/>
    <w:link w:val="Style_18_ch"/>
  </w:style>
  <w:style w:styleId="Style_18_ch" w:type="character">
    <w:name w:val="Указатель"/>
    <w:basedOn w:val="Style_3_ch"/>
    <w:link w:val="Style_18"/>
  </w:style>
  <w:style w:styleId="Style_19" w:type="paragraph">
    <w:name w:val="WW8Num14z0"/>
    <w:link w:val="Style_19_ch"/>
  </w:style>
  <w:style w:styleId="Style_19_ch" w:type="character">
    <w:name w:val="WW8Num14z0"/>
    <w:link w:val="Style_19"/>
  </w:style>
  <w:style w:styleId="Style_20" w:type="paragraph">
    <w:name w:val="WW8Num20z1"/>
    <w:link w:val="Style_20_ch"/>
    <w:rPr>
      <w:rFonts w:ascii="Courier New" w:hAnsi="Courier New"/>
    </w:rPr>
  </w:style>
  <w:style w:styleId="Style_20_ch" w:type="character">
    <w:name w:val="WW8Num20z1"/>
    <w:link w:val="Style_20"/>
    <w:rPr>
      <w:rFonts w:ascii="Courier New" w:hAnsi="Courier New"/>
    </w:rPr>
  </w:style>
  <w:style w:styleId="Style_21" w:type="paragraph">
    <w:name w:val="WW8Num1z0"/>
    <w:link w:val="Style_21_ch"/>
  </w:style>
  <w:style w:styleId="Style_21_ch" w:type="character">
    <w:name w:val="WW8Num1z0"/>
    <w:link w:val="Style_21"/>
  </w:style>
  <w:style w:styleId="Style_22" w:type="paragraph">
    <w:name w:val="WW8Num7z0"/>
    <w:link w:val="Style_22_ch"/>
  </w:style>
  <w:style w:styleId="Style_22_ch" w:type="character">
    <w:name w:val="WW8Num7z0"/>
    <w:link w:val="Style_22"/>
  </w:style>
  <w:style w:styleId="Style_23" w:type="paragraph">
    <w:name w:val="endnote reference3"/>
    <w:link w:val="Style_23_ch"/>
    <w:rPr>
      <w:vertAlign w:val="superscript"/>
    </w:rPr>
  </w:style>
  <w:style w:styleId="Style_23_ch" w:type="character">
    <w:name w:val="endnote reference3"/>
    <w:link w:val="Style_23"/>
    <w:rPr>
      <w:vertAlign w:val="superscript"/>
    </w:rPr>
  </w:style>
  <w:style w:styleId="Style_24" w:type="paragraph">
    <w:name w:val="caption1"/>
    <w:basedOn w:val="Style_3"/>
    <w:link w:val="Style_24_ch"/>
    <w:pPr>
      <w:spacing w:after="120" w:before="120"/>
      <w:ind/>
    </w:pPr>
    <w:rPr>
      <w:i w:val="1"/>
      <w:sz w:val="24"/>
    </w:rPr>
  </w:style>
  <w:style w:styleId="Style_24_ch" w:type="character">
    <w:name w:val="caption1"/>
    <w:basedOn w:val="Style_3_ch"/>
    <w:link w:val="Style_24"/>
    <w:rPr>
      <w:i w:val="1"/>
      <w:sz w:val="24"/>
    </w:rPr>
  </w:style>
  <w:style w:styleId="Style_25" w:type="paragraph">
    <w:name w:val="Заголовок 2 Знак"/>
    <w:link w:val="Style_25_ch"/>
    <w:rPr>
      <w:rFonts w:ascii="Times New Roman" w:hAnsi="Times New Roman"/>
      <w:b w:val="1"/>
      <w:sz w:val="36"/>
    </w:rPr>
  </w:style>
  <w:style w:styleId="Style_25_ch" w:type="character">
    <w:name w:val="Заголовок 2 Знак"/>
    <w:link w:val="Style_25"/>
    <w:rPr>
      <w:rFonts w:ascii="Times New Roman" w:hAnsi="Times New Roman"/>
      <w:b w:val="1"/>
      <w:sz w:val="36"/>
    </w:rPr>
  </w:style>
  <w:style w:styleId="Style_26" w:type="paragraph">
    <w:name w:val="header"/>
    <w:basedOn w:val="Style_3"/>
    <w:link w:val="Style_26_ch"/>
    <w:pPr>
      <w:spacing w:after="0" w:before="0" w:line="240" w:lineRule="auto"/>
      <w:ind/>
    </w:pPr>
  </w:style>
  <w:style w:styleId="Style_26_ch" w:type="character">
    <w:name w:val="header"/>
    <w:basedOn w:val="Style_3_ch"/>
    <w:link w:val="Style_26"/>
  </w:style>
  <w:style w:styleId="Style_27" w:type="paragraph">
    <w:name w:val="WW8Num6z0"/>
    <w:link w:val="Style_27_ch"/>
  </w:style>
  <w:style w:styleId="Style_27_ch" w:type="character">
    <w:name w:val="WW8Num6z0"/>
    <w:link w:val="Style_27"/>
  </w:style>
  <w:style w:styleId="Style_28" w:type="paragraph">
    <w:name w:val="caption111"/>
    <w:basedOn w:val="Style_3"/>
    <w:link w:val="Style_28_ch"/>
    <w:pPr>
      <w:spacing w:after="120" w:before="120"/>
      <w:ind/>
    </w:pPr>
    <w:rPr>
      <w:i w:val="1"/>
      <w:sz w:val="24"/>
    </w:rPr>
  </w:style>
  <w:style w:styleId="Style_28_ch" w:type="character">
    <w:name w:val="caption111"/>
    <w:basedOn w:val="Style_3_ch"/>
    <w:link w:val="Style_28"/>
    <w:rPr>
      <w:i w:val="1"/>
      <w:sz w:val="24"/>
    </w:rPr>
  </w:style>
  <w:style w:styleId="Style_29" w:type="paragraph">
    <w:name w:val="Текст выноски"/>
    <w:basedOn w:val="Style_3"/>
    <w:link w:val="Style_29_ch"/>
    <w:pPr>
      <w:spacing w:after="0" w:before="0" w:line="240" w:lineRule="auto"/>
      <w:ind/>
    </w:pPr>
    <w:rPr>
      <w:rFonts w:ascii="Segoe UI" w:hAnsi="Segoe UI"/>
      <w:sz w:val="18"/>
    </w:rPr>
  </w:style>
  <w:style w:styleId="Style_29_ch" w:type="character">
    <w:name w:val="Текст выноски"/>
    <w:basedOn w:val="Style_3_ch"/>
    <w:link w:val="Style_29"/>
    <w:rPr>
      <w:rFonts w:ascii="Segoe UI" w:hAnsi="Segoe UI"/>
      <w:sz w:val="18"/>
    </w:rPr>
  </w:style>
  <w:style w:styleId="Style_30" w:type="paragraph">
    <w:name w:val="WW8Num15z0"/>
    <w:link w:val="Style_30_ch"/>
  </w:style>
  <w:style w:styleId="Style_30_ch" w:type="character">
    <w:name w:val="WW8Num15z0"/>
    <w:link w:val="Style_30"/>
  </w:style>
  <w:style w:styleId="Style_31" w:type="paragraph">
    <w:name w:val="caption11111"/>
    <w:basedOn w:val="Style_3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caption11111"/>
    <w:basedOn w:val="Style_3_ch"/>
    <w:link w:val="Style_31"/>
    <w:rPr>
      <w:i w:val="1"/>
      <w:sz w:val="24"/>
    </w:rPr>
  </w:style>
  <w:style w:styleId="Style_32" w:type="paragraph">
    <w:name w:val="Верхний колонтитул Знак"/>
    <w:basedOn w:val="Style_33"/>
    <w:link w:val="Style_32_ch"/>
  </w:style>
  <w:style w:styleId="Style_32_ch" w:type="character">
    <w:name w:val="Верхний колонтитул Знак"/>
    <w:basedOn w:val="Style_33_ch"/>
    <w:link w:val="Style_32"/>
  </w:style>
  <w:style w:styleId="Style_34" w:type="paragraph">
    <w:name w:val="ConsPlusNonformat Знак"/>
    <w:link w:val="Style_34_ch"/>
    <w:rPr>
      <w:rFonts w:ascii="Courier New" w:hAnsi="Courier New"/>
      <w:sz w:val="16"/>
    </w:rPr>
  </w:style>
  <w:style w:styleId="Style_34_ch" w:type="character">
    <w:name w:val="ConsPlusNonformat Знак"/>
    <w:link w:val="Style_34"/>
    <w:rPr>
      <w:rFonts w:ascii="Courier New" w:hAnsi="Courier New"/>
      <w:sz w:val="16"/>
    </w:rPr>
  </w:style>
  <w:style w:styleId="Style_35" w:type="paragraph">
    <w:name w:val="footnote reference5"/>
    <w:link w:val="Style_35_ch"/>
    <w:rPr>
      <w:vertAlign w:val="superscript"/>
    </w:rPr>
  </w:style>
  <w:style w:styleId="Style_35_ch" w:type="character">
    <w:name w:val="footnote reference5"/>
    <w:link w:val="Style_35"/>
    <w:rPr>
      <w:vertAlign w:val="superscript"/>
    </w:rPr>
  </w:style>
  <w:style w:styleId="Style_36" w:type="paragraph">
    <w:name w:val="Нижний колонтитул Знак"/>
    <w:basedOn w:val="Style_33"/>
    <w:link w:val="Style_36_ch"/>
  </w:style>
  <w:style w:styleId="Style_36_ch" w:type="character">
    <w:name w:val="Нижний колонтитул Знак"/>
    <w:basedOn w:val="Style_33_ch"/>
    <w:link w:val="Style_36"/>
  </w:style>
  <w:style w:styleId="Style_37" w:type="paragraph">
    <w:name w:val="WW8Num11z0"/>
    <w:link w:val="Style_37_ch"/>
    <w:rPr>
      <w:b w:val="0"/>
    </w:rPr>
  </w:style>
  <w:style w:styleId="Style_37_ch" w:type="character">
    <w:name w:val="WW8Num11z0"/>
    <w:link w:val="Style_37"/>
    <w:rPr>
      <w:b w:val="0"/>
    </w:rPr>
  </w:style>
  <w:style w:styleId="Style_38" w:type="paragraph">
    <w:name w:val="caption11"/>
    <w:basedOn w:val="Style_3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caption11"/>
    <w:basedOn w:val="Style_3_ch"/>
    <w:link w:val="Style_38"/>
    <w:rPr>
      <w:i w:val="1"/>
      <w:sz w:val="24"/>
    </w:rPr>
  </w:style>
  <w:style w:styleId="Style_39" w:type="paragraph">
    <w:name w:val="footnote reference4"/>
    <w:link w:val="Style_39_ch"/>
    <w:rPr>
      <w:vertAlign w:val="superscript"/>
    </w:rPr>
  </w:style>
  <w:style w:styleId="Style_39_ch" w:type="character">
    <w:name w:val="footnote reference4"/>
    <w:link w:val="Style_39"/>
    <w:rPr>
      <w:vertAlign w:val="superscript"/>
    </w:rPr>
  </w:style>
  <w:style w:styleId="Style_40" w:type="paragraph">
    <w:name w:val="Текст выноски Знак"/>
    <w:link w:val="Style_40_ch"/>
    <w:rPr>
      <w:rFonts w:ascii="Segoe UI" w:hAnsi="Segoe UI"/>
      <w:sz w:val="18"/>
    </w:rPr>
  </w:style>
  <w:style w:styleId="Style_40_ch" w:type="character">
    <w:name w:val="Текст выноски Знак"/>
    <w:link w:val="Style_40"/>
    <w:rPr>
      <w:rFonts w:ascii="Segoe UI" w:hAnsi="Segoe UI"/>
      <w:sz w:val="18"/>
    </w:rPr>
  </w:style>
  <w:style w:styleId="Style_41" w:type="paragraph">
    <w:name w:val="toc 3"/>
    <w:next w:val="Style_3"/>
    <w:link w:val="Style_4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WW8Num9z1"/>
    <w:link w:val="Style_42_ch"/>
    <w:rPr>
      <w:rFonts w:ascii="Courier New" w:hAnsi="Courier New"/>
    </w:rPr>
  </w:style>
  <w:style w:styleId="Style_42_ch" w:type="character">
    <w:name w:val="WW8Num9z1"/>
    <w:link w:val="Style_42"/>
    <w:rPr>
      <w:rFonts w:ascii="Courier New" w:hAnsi="Courier New"/>
    </w:rPr>
  </w:style>
  <w:style w:styleId="Style_43" w:type="paragraph">
    <w:name w:val="WW8Num8z0"/>
    <w:link w:val="Style_43_ch"/>
  </w:style>
  <w:style w:styleId="Style_43_ch" w:type="character">
    <w:name w:val="WW8Num8z0"/>
    <w:link w:val="Style_43"/>
  </w:style>
  <w:style w:styleId="Style_44" w:type="paragraph">
    <w:name w:val="WW8Num19z0"/>
    <w:link w:val="Style_44_ch"/>
  </w:style>
  <w:style w:styleId="Style_44_ch" w:type="character">
    <w:name w:val="WW8Num19z0"/>
    <w:link w:val="Style_44"/>
  </w:style>
  <w:style w:styleId="Style_45" w:type="paragraph">
    <w:name w:val="WW8Num2z0"/>
    <w:link w:val="Style_45_ch"/>
    <w:rPr>
      <w:rFonts w:ascii="Symbol" w:hAnsi="Symbol"/>
    </w:rPr>
  </w:style>
  <w:style w:styleId="Style_45_ch" w:type="character">
    <w:name w:val="WW8Num2z0"/>
    <w:link w:val="Style_45"/>
    <w:rPr>
      <w:rFonts w:ascii="Symbol" w:hAnsi="Symbol"/>
    </w:rPr>
  </w:style>
  <w:style w:styleId="Style_46" w:type="paragraph">
    <w:name w:val="Символ сноски"/>
    <w:link w:val="Style_46_ch"/>
    <w:rPr>
      <w:vertAlign w:val="superscript"/>
    </w:rPr>
  </w:style>
  <w:style w:styleId="Style_46_ch" w:type="character">
    <w:name w:val="Символ сноски"/>
    <w:link w:val="Style_46"/>
    <w:rPr>
      <w:vertAlign w:val="superscript"/>
    </w:rPr>
  </w:style>
  <w:style w:styleId="Style_47" w:type="paragraph">
    <w:name w:val="Emphasis"/>
    <w:link w:val="Style_47_ch"/>
    <w:rPr>
      <w:i w:val="1"/>
    </w:rPr>
  </w:style>
  <w:style w:styleId="Style_47_ch" w:type="character">
    <w:name w:val="Emphasis"/>
    <w:link w:val="Style_47"/>
    <w:rPr>
      <w:i w:val="1"/>
    </w:rPr>
  </w:style>
  <w:style w:styleId="Style_48" w:type="paragraph">
    <w:name w:val="Default"/>
    <w:link w:val="Style_48_ch"/>
    <w:pPr>
      <w:widowControl w:val="1"/>
      <w:ind/>
    </w:pPr>
    <w:rPr>
      <w:rFonts w:ascii="Times New Roman" w:hAnsi="Times New Roman"/>
      <w:color w:val="000000"/>
      <w:sz w:val="24"/>
    </w:rPr>
  </w:style>
  <w:style w:styleId="Style_48_ch" w:type="character">
    <w:name w:val="Default"/>
    <w:link w:val="Style_48"/>
    <w:rPr>
      <w:rFonts w:ascii="Times New Roman" w:hAnsi="Times New Roman"/>
      <w:color w:val="000000"/>
      <w:sz w:val="24"/>
    </w:rPr>
  </w:style>
  <w:style w:styleId="Style_33" w:type="paragraph">
    <w:name w:val="Основной шрифт абзаца"/>
    <w:link w:val="Style_33_ch"/>
  </w:style>
  <w:style w:styleId="Style_33_ch" w:type="character">
    <w:name w:val="Основной шрифт абзаца"/>
    <w:link w:val="Style_33"/>
  </w:style>
  <w:style w:styleId="Style_49" w:type="paragraph">
    <w:name w:val="caption1111111"/>
    <w:basedOn w:val="Style_3"/>
    <w:link w:val="Style_49_ch"/>
    <w:pPr>
      <w:spacing w:after="120" w:before="120"/>
      <w:ind/>
    </w:pPr>
    <w:rPr>
      <w:i w:val="1"/>
      <w:sz w:val="24"/>
    </w:rPr>
  </w:style>
  <w:style w:styleId="Style_49_ch" w:type="character">
    <w:name w:val="caption1111111"/>
    <w:basedOn w:val="Style_3_ch"/>
    <w:link w:val="Style_49"/>
    <w:rPr>
      <w:i w:val="1"/>
      <w:sz w:val="24"/>
    </w:rPr>
  </w:style>
  <w:style w:styleId="Style_50" w:type="paragraph">
    <w:name w:val="endnote reference2"/>
    <w:link w:val="Style_50_ch"/>
    <w:rPr>
      <w:vertAlign w:val="superscript"/>
    </w:rPr>
  </w:style>
  <w:style w:styleId="Style_50_ch" w:type="character">
    <w:name w:val="endnote reference2"/>
    <w:link w:val="Style_50"/>
    <w:rPr>
      <w:vertAlign w:val="superscript"/>
    </w:rPr>
  </w:style>
  <w:style w:styleId="Style_14" w:type="paragraph">
    <w:name w:val="Body Text"/>
    <w:basedOn w:val="Style_3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51" w:type="paragraph">
    <w:name w:val="endnote reference4"/>
    <w:link w:val="Style_51_ch"/>
    <w:rPr>
      <w:vertAlign w:val="superscript"/>
    </w:rPr>
  </w:style>
  <w:style w:styleId="Style_51_ch" w:type="character">
    <w:name w:val="endnote reference4"/>
    <w:link w:val="Style_51"/>
    <w:rPr>
      <w:vertAlign w:val="superscript"/>
    </w:rPr>
  </w:style>
  <w:style w:styleId="Style_52" w:type="paragraph">
    <w:name w:val="caption"/>
    <w:basedOn w:val="Style_3"/>
    <w:link w:val="Style_52_ch"/>
    <w:pPr>
      <w:spacing w:after="120" w:before="120"/>
      <w:ind/>
    </w:pPr>
    <w:rPr>
      <w:i w:val="1"/>
      <w:sz w:val="24"/>
    </w:rPr>
  </w:style>
  <w:style w:styleId="Style_52_ch" w:type="character">
    <w:name w:val="caption"/>
    <w:basedOn w:val="Style_3_ch"/>
    <w:link w:val="Style_52"/>
    <w:rPr>
      <w:i w:val="1"/>
      <w:sz w:val="24"/>
    </w:rPr>
  </w:style>
  <w:style w:styleId="Style_53" w:type="paragraph">
    <w:name w:val="heading 5"/>
    <w:next w:val="Style_3"/>
    <w:link w:val="Style_5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3_ch" w:type="character">
    <w:name w:val="heading 5"/>
    <w:link w:val="Style_53"/>
    <w:rPr>
      <w:rFonts w:ascii="XO Thames" w:hAnsi="XO Thames"/>
      <w:b w:val="1"/>
      <w:sz w:val="22"/>
    </w:rPr>
  </w:style>
  <w:style w:styleId="Style_54" w:type="paragraph">
    <w:name w:val="WW8Num17z0"/>
    <w:link w:val="Style_54_ch"/>
  </w:style>
  <w:style w:styleId="Style_54_ch" w:type="character">
    <w:name w:val="WW8Num17z0"/>
    <w:link w:val="Style_54"/>
  </w:style>
  <w:style w:styleId="Style_55" w:type="paragraph">
    <w:name w:val="heading 1"/>
    <w:next w:val="Style_3"/>
    <w:link w:val="Style_5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5_ch" w:type="character">
    <w:name w:val="heading 1"/>
    <w:link w:val="Style_55"/>
    <w:rPr>
      <w:rFonts w:ascii="XO Thames" w:hAnsi="XO Thames"/>
      <w:b w:val="1"/>
      <w:sz w:val="32"/>
    </w:rPr>
  </w:style>
  <w:style w:styleId="Style_56" w:type="paragraph">
    <w:name w:val="ConsPlusNonformat"/>
    <w:link w:val="Style_56_ch"/>
    <w:pPr>
      <w:widowControl w:val="1"/>
      <w:ind/>
    </w:pPr>
    <w:rPr>
      <w:rFonts w:ascii="Courier New" w:hAnsi="Courier New"/>
      <w:color w:val="000000"/>
      <w:sz w:val="16"/>
    </w:rPr>
  </w:style>
  <w:style w:styleId="Style_56_ch" w:type="character">
    <w:name w:val="ConsPlusNonformat"/>
    <w:link w:val="Style_56"/>
    <w:rPr>
      <w:rFonts w:ascii="Courier New" w:hAnsi="Courier New"/>
      <w:color w:val="000000"/>
      <w:sz w:val="16"/>
    </w:rPr>
  </w:style>
  <w:style w:styleId="Style_57" w:type="paragraph">
    <w:name w:val="Hyperlink"/>
    <w:link w:val="Style_57_ch"/>
    <w:rPr>
      <w:color w:val="000080"/>
      <w:u w:val="single"/>
    </w:rPr>
  </w:style>
  <w:style w:styleId="Style_57_ch" w:type="character">
    <w:name w:val="Hyperlink"/>
    <w:link w:val="Style_57"/>
    <w:rPr>
      <w:color w:val="000080"/>
      <w:u w:val="single"/>
    </w:rPr>
  </w:style>
  <w:style w:styleId="Style_58" w:type="paragraph">
    <w:name w:val="Footnote"/>
    <w:basedOn w:val="Style_3"/>
    <w:link w:val="Style_58_ch"/>
    <w:pPr>
      <w:spacing w:after="0" w:before="0" w:line="240" w:lineRule="auto"/>
      <w:ind/>
    </w:pPr>
    <w:rPr>
      <w:sz w:val="20"/>
    </w:rPr>
  </w:style>
  <w:style w:styleId="Style_58_ch" w:type="character">
    <w:name w:val="Footnote"/>
    <w:basedOn w:val="Style_3_ch"/>
    <w:link w:val="Style_58"/>
    <w:rPr>
      <w:sz w:val="20"/>
    </w:rPr>
  </w:style>
  <w:style w:styleId="Style_59" w:type="paragraph">
    <w:name w:val="WW8Num3z0"/>
    <w:link w:val="Style_59_ch"/>
    <w:rPr>
      <w:b w:val="0"/>
    </w:rPr>
  </w:style>
  <w:style w:styleId="Style_59_ch" w:type="character">
    <w:name w:val="WW8Num3z0"/>
    <w:link w:val="Style_59"/>
    <w:rPr>
      <w:b w:val="0"/>
    </w:rPr>
  </w:style>
  <w:style w:styleId="Style_60" w:type="paragraph">
    <w:name w:val="toc 1"/>
    <w:next w:val="Style_3"/>
    <w:link w:val="Style_6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0_ch" w:type="character">
    <w:name w:val="toc 1"/>
    <w:link w:val="Style_60"/>
    <w:rPr>
      <w:rFonts w:ascii="XO Thames" w:hAnsi="XO Thames"/>
      <w:b w:val="1"/>
      <w:sz w:val="28"/>
    </w:rPr>
  </w:style>
  <w:style w:styleId="Style_61" w:type="paragraph">
    <w:name w:val="Default Paragraph Font"/>
    <w:link w:val="Style_61_ch"/>
  </w:style>
  <w:style w:styleId="Style_61_ch" w:type="character">
    <w:name w:val="Default Paragraph Font"/>
    <w:link w:val="Style_61"/>
  </w:style>
  <w:style w:styleId="Style_62" w:type="paragraph">
    <w:name w:val="WW8Num13z0"/>
    <w:link w:val="Style_62_ch"/>
  </w:style>
  <w:style w:styleId="Style_62_ch" w:type="character">
    <w:name w:val="WW8Num13z0"/>
    <w:link w:val="Style_62"/>
  </w:style>
  <w:style w:styleId="Style_63" w:type="paragraph">
    <w:name w:val="Header and Footer"/>
    <w:basedOn w:val="Style_3"/>
    <w:link w:val="Style_63_ch"/>
    <w:pPr>
      <w:tabs>
        <w:tab w:leader="none" w:pos="4819" w:val="center"/>
        <w:tab w:leader="none" w:pos="9638" w:val="right"/>
      </w:tabs>
      <w:ind/>
    </w:pPr>
  </w:style>
  <w:style w:styleId="Style_63_ch" w:type="character">
    <w:name w:val="Header and Footer"/>
    <w:basedOn w:val="Style_3_ch"/>
    <w:link w:val="Style_63"/>
  </w:style>
  <w:style w:styleId="Style_64" w:type="paragraph">
    <w:name w:val="caption1111"/>
    <w:basedOn w:val="Style_3"/>
    <w:link w:val="Style_64_ch"/>
    <w:pPr>
      <w:spacing w:after="120" w:before="120"/>
      <w:ind/>
    </w:pPr>
    <w:rPr>
      <w:i w:val="1"/>
      <w:sz w:val="24"/>
    </w:rPr>
  </w:style>
  <w:style w:styleId="Style_64_ch" w:type="character">
    <w:name w:val="caption1111"/>
    <w:basedOn w:val="Style_3_ch"/>
    <w:link w:val="Style_64"/>
    <w:rPr>
      <w:i w:val="1"/>
      <w:sz w:val="24"/>
    </w:rPr>
  </w:style>
  <w:style w:styleId="Style_65" w:type="paragraph">
    <w:name w:val="WW8Num9z2"/>
    <w:link w:val="Style_65_ch"/>
    <w:rPr>
      <w:rFonts w:ascii="Wingdings" w:hAnsi="Wingdings"/>
    </w:rPr>
  </w:style>
  <w:style w:styleId="Style_65_ch" w:type="character">
    <w:name w:val="WW8Num9z2"/>
    <w:link w:val="Style_65"/>
    <w:rPr>
      <w:rFonts w:ascii="Wingdings" w:hAnsi="Wingdings"/>
    </w:rPr>
  </w:style>
  <w:style w:styleId="Style_66" w:type="paragraph">
    <w:name w:val="footnote reference1"/>
    <w:link w:val="Style_66_ch"/>
    <w:rPr>
      <w:vertAlign w:val="superscript"/>
    </w:rPr>
  </w:style>
  <w:style w:styleId="Style_66_ch" w:type="character">
    <w:name w:val="footnote reference1"/>
    <w:link w:val="Style_66"/>
    <w:rPr>
      <w:vertAlign w:val="superscript"/>
    </w:rPr>
  </w:style>
  <w:style w:styleId="Style_67" w:type="paragraph">
    <w:name w:val="endnote reference1"/>
    <w:link w:val="Style_67_ch"/>
    <w:rPr>
      <w:vertAlign w:val="superscript"/>
    </w:rPr>
  </w:style>
  <w:style w:styleId="Style_67_ch" w:type="character">
    <w:name w:val="endnote reference1"/>
    <w:link w:val="Style_67"/>
    <w:rPr>
      <w:vertAlign w:val="superscript"/>
    </w:rPr>
  </w:style>
  <w:style w:styleId="Style_68" w:type="paragraph">
    <w:name w:val="WW8Num20z0"/>
    <w:link w:val="Style_68_ch"/>
    <w:rPr>
      <w:rFonts w:ascii="Symbol" w:hAnsi="Symbol"/>
    </w:rPr>
  </w:style>
  <w:style w:styleId="Style_68_ch" w:type="character">
    <w:name w:val="WW8Num20z0"/>
    <w:link w:val="Style_68"/>
    <w:rPr>
      <w:rFonts w:ascii="Symbol" w:hAnsi="Symbol"/>
    </w:rPr>
  </w:style>
  <w:style w:styleId="Style_69" w:type="paragraph">
    <w:name w:val="toc 9"/>
    <w:next w:val="Style_3"/>
    <w:link w:val="Style_6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9_ch" w:type="character">
    <w:name w:val="toc 9"/>
    <w:link w:val="Style_69"/>
    <w:rPr>
      <w:rFonts w:ascii="XO Thames" w:hAnsi="XO Thames"/>
      <w:sz w:val="28"/>
    </w:rPr>
  </w:style>
  <w:style w:styleId="Style_70" w:type="paragraph">
    <w:name w:val="footnote reference3"/>
    <w:link w:val="Style_70_ch"/>
    <w:rPr>
      <w:vertAlign w:val="superscript"/>
    </w:rPr>
  </w:style>
  <w:style w:styleId="Style_70_ch" w:type="character">
    <w:name w:val="footnote reference3"/>
    <w:link w:val="Style_70"/>
    <w:rPr>
      <w:vertAlign w:val="superscript"/>
    </w:rPr>
  </w:style>
  <w:style w:styleId="Style_71" w:type="paragraph">
    <w:name w:val="WW8Num12z0"/>
    <w:link w:val="Style_71_ch"/>
  </w:style>
  <w:style w:styleId="Style_71_ch" w:type="character">
    <w:name w:val="WW8Num12z0"/>
    <w:link w:val="Style_71"/>
  </w:style>
  <w:style w:styleId="Style_72" w:type="paragraph">
    <w:name w:val="Символ концевой сноски"/>
    <w:link w:val="Style_72_ch"/>
    <w:rPr>
      <w:vertAlign w:val="superscript"/>
    </w:rPr>
  </w:style>
  <w:style w:styleId="Style_72_ch" w:type="character">
    <w:name w:val="Символ концевой сноски"/>
    <w:link w:val="Style_72"/>
    <w:rPr>
      <w:vertAlign w:val="superscript"/>
    </w:rPr>
  </w:style>
  <w:style w:styleId="Style_73" w:type="paragraph">
    <w:name w:val="toc 8"/>
    <w:next w:val="Style_3"/>
    <w:link w:val="Style_7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3_ch" w:type="character">
    <w:name w:val="toc 8"/>
    <w:link w:val="Style_73"/>
    <w:rPr>
      <w:rFonts w:ascii="XO Thames" w:hAnsi="XO Thames"/>
      <w:sz w:val="28"/>
    </w:rPr>
  </w:style>
  <w:style w:styleId="Style_74" w:type="paragraph">
    <w:name w:val="WW8Num9z0"/>
    <w:link w:val="Style_74_ch"/>
    <w:rPr>
      <w:rFonts w:ascii="Symbol" w:hAnsi="Symbol"/>
    </w:rPr>
  </w:style>
  <w:style w:styleId="Style_74_ch" w:type="character">
    <w:name w:val="WW8Num9z0"/>
    <w:link w:val="Style_74"/>
    <w:rPr>
      <w:rFonts w:ascii="Symbol" w:hAnsi="Symbol"/>
    </w:rPr>
  </w:style>
  <w:style w:styleId="Style_9" w:type="paragraph">
    <w:name w:val="Содержимое таблицы"/>
    <w:basedOn w:val="Style_3"/>
    <w:link w:val="Style_9_ch"/>
    <w:pPr>
      <w:widowControl w:val="0"/>
      <w:ind/>
    </w:pPr>
  </w:style>
  <w:style w:styleId="Style_9_ch" w:type="character">
    <w:name w:val="Содержимое таблицы"/>
    <w:basedOn w:val="Style_3_ch"/>
    <w:link w:val="Style_9"/>
  </w:style>
  <w:style w:styleId="Style_75" w:type="paragraph">
    <w:name w:val="footnote reference"/>
    <w:link w:val="Style_75_ch"/>
    <w:rPr>
      <w:vertAlign w:val="superscript"/>
    </w:rPr>
  </w:style>
  <w:style w:styleId="Style_75_ch" w:type="character">
    <w:name w:val="footnote reference"/>
    <w:link w:val="Style_75"/>
    <w:rPr>
      <w:vertAlign w:val="superscript"/>
    </w:rPr>
  </w:style>
  <w:style w:styleId="Style_76" w:type="paragraph">
    <w:name w:val="footnote reference2"/>
    <w:link w:val="Style_76_ch"/>
    <w:rPr>
      <w:vertAlign w:val="superscript"/>
    </w:rPr>
  </w:style>
  <w:style w:styleId="Style_76_ch" w:type="character">
    <w:name w:val="footnote reference2"/>
    <w:link w:val="Style_76"/>
    <w:rPr>
      <w:vertAlign w:val="superscript"/>
    </w:rPr>
  </w:style>
  <w:style w:styleId="Style_77" w:type="paragraph">
    <w:name w:val="Текст концевой сноски Знак"/>
    <w:link w:val="Style_77_ch"/>
  </w:style>
  <w:style w:styleId="Style_77_ch" w:type="character">
    <w:name w:val="Текст концевой сноски Знак"/>
    <w:link w:val="Style_77"/>
  </w:style>
  <w:style w:styleId="Style_78" w:type="paragraph">
    <w:name w:val="toc 5"/>
    <w:next w:val="Style_3"/>
    <w:link w:val="Style_7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8_ch" w:type="character">
    <w:name w:val="toc 5"/>
    <w:link w:val="Style_78"/>
    <w:rPr>
      <w:rFonts w:ascii="XO Thames" w:hAnsi="XO Thames"/>
      <w:sz w:val="28"/>
    </w:rPr>
  </w:style>
  <w:style w:styleId="Style_2" w:type="paragraph">
    <w:name w:val="Абзац списка"/>
    <w:basedOn w:val="Style_3"/>
    <w:link w:val="Style_2_ch"/>
    <w:pPr>
      <w:spacing w:after="160" w:before="0"/>
      <w:ind w:firstLine="0" w:left="720" w:right="0"/>
      <w:contextualSpacing w:val="1"/>
    </w:pPr>
  </w:style>
  <w:style w:styleId="Style_2_ch" w:type="character">
    <w:name w:val="Абзац списка"/>
    <w:basedOn w:val="Style_3_ch"/>
    <w:link w:val="Style_2"/>
  </w:style>
  <w:style w:styleId="Style_79" w:type="paragraph">
    <w:name w:val="caption111111"/>
    <w:basedOn w:val="Style_3"/>
    <w:link w:val="Style_79_ch"/>
    <w:pPr>
      <w:spacing w:after="120" w:before="120"/>
      <w:ind/>
    </w:pPr>
    <w:rPr>
      <w:i w:val="1"/>
      <w:sz w:val="24"/>
    </w:rPr>
  </w:style>
  <w:style w:styleId="Style_79_ch" w:type="character">
    <w:name w:val="caption111111"/>
    <w:basedOn w:val="Style_3_ch"/>
    <w:link w:val="Style_79"/>
    <w:rPr>
      <w:i w:val="1"/>
      <w:sz w:val="24"/>
    </w:rPr>
  </w:style>
  <w:style w:styleId="Style_80" w:type="paragraph">
    <w:name w:val="Subtitle"/>
    <w:next w:val="Style_3"/>
    <w:link w:val="Style_8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0_ch" w:type="character">
    <w:name w:val="Subtitle"/>
    <w:link w:val="Style_80"/>
    <w:rPr>
      <w:rFonts w:ascii="XO Thames" w:hAnsi="XO Thames"/>
      <w:i w:val="1"/>
      <w:sz w:val="24"/>
    </w:rPr>
  </w:style>
  <w:style w:styleId="Style_81" w:type="paragraph">
    <w:name w:val="WW8Num4z0"/>
    <w:link w:val="Style_81_ch"/>
  </w:style>
  <w:style w:styleId="Style_81_ch" w:type="character">
    <w:name w:val="WW8Num4z0"/>
    <w:link w:val="Style_81"/>
  </w:style>
  <w:style w:styleId="Style_82" w:type="paragraph">
    <w:name w:val="Title"/>
    <w:next w:val="Style_3"/>
    <w:link w:val="Style_8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2_ch" w:type="character">
    <w:name w:val="Title"/>
    <w:link w:val="Style_82"/>
    <w:rPr>
      <w:rFonts w:ascii="XO Thames" w:hAnsi="XO Thames"/>
      <w:b w:val="1"/>
      <w:caps w:val="1"/>
      <w:sz w:val="40"/>
    </w:rPr>
  </w:style>
  <w:style w:styleId="Style_83" w:type="paragraph">
    <w:name w:val="Заголовок"/>
    <w:basedOn w:val="Style_3"/>
    <w:next w:val="Style_14"/>
    <w:link w:val="Style_8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83_ch" w:type="character">
    <w:name w:val="Заголовок"/>
    <w:basedOn w:val="Style_3_ch"/>
    <w:link w:val="Style_83"/>
    <w:rPr>
      <w:rFonts w:ascii="Liberation Sans" w:hAnsi="Liberation Sans"/>
      <w:sz w:val="28"/>
    </w:rPr>
  </w:style>
  <w:style w:styleId="Style_84" w:type="paragraph">
    <w:name w:val="heading 4"/>
    <w:next w:val="Style_3"/>
    <w:link w:val="Style_8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4_ch" w:type="character">
    <w:name w:val="heading 4"/>
    <w:link w:val="Style_84"/>
    <w:rPr>
      <w:rFonts w:ascii="XO Thames" w:hAnsi="XO Thames"/>
      <w:b w:val="1"/>
      <w:sz w:val="24"/>
    </w:rPr>
  </w:style>
  <w:style w:styleId="Style_85" w:type="paragraph">
    <w:name w:val="WW8Num16z0"/>
    <w:link w:val="Style_85_ch"/>
  </w:style>
  <w:style w:styleId="Style_85_ch" w:type="character">
    <w:name w:val="WW8Num16z0"/>
    <w:link w:val="Style_85"/>
  </w:style>
  <w:style w:styleId="Style_86" w:type="paragraph">
    <w:name w:val="WW8Num18z0"/>
    <w:link w:val="Style_86_ch"/>
  </w:style>
  <w:style w:styleId="Style_86_ch" w:type="character">
    <w:name w:val="WW8Num18z0"/>
    <w:link w:val="Style_86"/>
  </w:style>
  <w:style w:styleId="Style_87" w:type="paragraph">
    <w:name w:val="endnote reference"/>
    <w:link w:val="Style_87_ch"/>
    <w:rPr>
      <w:vertAlign w:val="superscript"/>
    </w:rPr>
  </w:style>
  <w:style w:styleId="Style_87_ch" w:type="character">
    <w:name w:val="endnote reference"/>
    <w:link w:val="Style_87"/>
    <w:rPr>
      <w:vertAlign w:val="superscript"/>
    </w:rPr>
  </w:style>
  <w:style w:styleId="Style_88" w:type="paragraph">
    <w:name w:val="heading 2"/>
    <w:basedOn w:val="Style_3"/>
    <w:next w:val="Style_14"/>
    <w:link w:val="Style_88_ch"/>
    <w:uiPriority w:val="9"/>
    <w:qFormat/>
    <w:pPr>
      <w:numPr>
        <w:ilvl w:val="1"/>
        <w:numId w:val="4"/>
      </w:numPr>
      <w:spacing w:after="280" w:before="280" w:line="240" w:lineRule="auto"/>
      <w:ind/>
      <w:outlineLvl w:val="1"/>
    </w:pPr>
    <w:rPr>
      <w:rFonts w:ascii="Times New Roman" w:hAnsi="Times New Roman"/>
      <w:b w:val="1"/>
      <w:sz w:val="36"/>
    </w:rPr>
  </w:style>
  <w:style w:styleId="Style_88_ch" w:type="character">
    <w:name w:val="heading 2"/>
    <w:basedOn w:val="Style_3_ch"/>
    <w:link w:val="Style_88"/>
    <w:rPr>
      <w:rFonts w:ascii="Times New Roman" w:hAnsi="Times New Roman"/>
      <w:b w:val="1"/>
      <w:sz w:val="36"/>
    </w:rPr>
  </w:style>
  <w:style w:styleId="Style_89" w:type="paragraph">
    <w:name w:val="WW8Num5z0"/>
    <w:link w:val="Style_89_ch"/>
  </w:style>
  <w:style w:styleId="Style_89_ch" w:type="character">
    <w:name w:val="WW8Num5z0"/>
    <w:link w:val="Style_89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2026-06-16T08:19:47Z</dcterms:modified>
</cp:coreProperties>
</file>