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142"/>
        <w:rPr>
          <w:rFonts w:ascii="Arial" w:hAnsi="Arial" w:cs="Arial"/>
          <w:color w:val="993300"/>
          <w:sz w:val="32"/>
          <w:szCs w:val="32"/>
        </w:rPr>
      </w:pPr>
      <w:r>
        <w:rPr>
          <w:rFonts w:cs="Arial" w:ascii="Arial" w:hAnsi="Arial"/>
          <w:color w:val="993300"/>
          <w:sz w:val="32"/>
          <w:szCs w:val="32"/>
        </w:rPr>
        <w:t>Перечень государственных и муниципальных услуг, предоставляемых в МФЦ Милютинского района Ростовской области (на 15.06.2026)</w:t>
      </w:r>
    </w:p>
    <w:p>
      <w:pPr>
        <w:pStyle w:val="Normal"/>
        <w:spacing w:lineRule="auto" w:line="240"/>
        <w:rPr>
          <w:rFonts w:ascii="Arial" w:hAnsi="Arial" w:cs="Arial"/>
          <w:color w:val="993300"/>
          <w:sz w:val="32"/>
          <w:szCs w:val="32"/>
        </w:rPr>
      </w:pPr>
      <w:r>
        <w:rPr>
          <w:rFonts w:cs="Arial" w:ascii="Arial" w:hAnsi="Arial"/>
          <w:color w:val="993300"/>
          <w:sz w:val="32"/>
          <w:szCs w:val="32"/>
        </w:rPr>
      </w:r>
    </w:p>
    <w:tbl>
      <w:tblPr>
        <w:tblStyle w:val="NormalTable"/>
        <w:tblW w:w="1095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08"/>
        <w:gridCol w:w="112"/>
        <w:gridCol w:w="3264"/>
        <w:gridCol w:w="140"/>
        <w:gridCol w:w="3533"/>
      </w:tblGrid>
      <w:tr>
        <w:trPr>
          <w:tblHeader w:val="true"/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Наименование услуги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Стоимость (руб.)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Сроки оказания услуги</w:t>
            </w:r>
          </w:p>
        </w:tc>
      </w:tr>
      <w:tr>
        <w:trPr>
          <w:tblHeader w:val="true"/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sz w:val="20"/>
                <w:lang w:eastAsia="ru-RU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sz w:val="20"/>
                <w:lang w:eastAsia="ru-RU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sz w:val="2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Федеральные услуги</w:t>
            </w:r>
          </w:p>
        </w:tc>
      </w:tr>
      <w:tr>
        <w:trPr>
          <w:trHeight w:val="315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МВД</w:t>
            </w:r>
          </w:p>
        </w:tc>
      </w:tr>
      <w:tr>
        <w:trPr>
          <w:trHeight w:val="152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от 30 календарных дней (при необходимости получения дополнительной информации в иных органах, срок рассмотрения заявления может быть продлен не более чем на 30 дней)</w:t>
            </w:r>
          </w:p>
        </w:tc>
      </w:tr>
      <w:tr>
        <w:trPr>
          <w:trHeight w:val="2272" w:hRule="atLeast"/>
        </w:trPr>
        <w:tc>
          <w:tcPr>
            <w:tcW w:w="402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Проведение экзаменов на право управления транспортными средствами и выдаче водительских удостоверений (в части российских национальных водительских удостоверений при замене, утрате (хищении) и международных водительских удостоверений)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пошлина: 4000 рублей за выдачу национального водительского удостоверения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пошлина: 3200 за выдачу международного водительского удостоверения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15 рабочих дней</w:t>
            </w:r>
          </w:p>
        </w:tc>
      </w:tr>
      <w:tr>
        <w:trPr>
          <w:trHeight w:val="185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пошлина 300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пошлина в случае порчи документа 1500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 рабочий день- передача в орган,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5 рабочих дней-срок оформления паспорта органом,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eastAsia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 календарных дня – передача оформленного паспорта органом в МФЦ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Регистрационный учет граждан Российской Федерации по месту пребывания и по месту жительства в пределах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8 дней со дня приема заявления и документов</w:t>
            </w:r>
          </w:p>
        </w:tc>
      </w:tr>
      <w:tr>
        <w:trPr>
          <w:trHeight w:val="82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Осуществление миграционного учета в Российской Федерации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в части приема уведомления о прибытии иностранного гражданина или лица без гражданства в место пребывания и проставления отметки о приеме уведомления - государственная пошлина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500 рублей.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за регистрацию иностранного гражданина или лица без гражданства по месту жительства в Российской Федерации – государственная пошлина 1000 рублей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 передача документов в орган – 1 рабочий день.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пошлина</w:t>
              <w:br/>
              <w:t>паспорт старого образца – 2000 руб. (граждане до 14 лет – 1000 руб.)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 при подаче документов по месту жительства – один месяц (если отказ – 20 календарных дней);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федерации, - 3 рабочих дня (если отказ – 3 рабочих дня);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3) при оформлении паспорта заявителю, имеющему (имевшему) допуск к сведениям особой важности или совершенно секретным сведениям, отнесенным к государственной тайне в соответствии с </w:t>
            </w:r>
            <w:hyperlink r:id="rId2">
              <w:r>
                <w:rPr>
                  <w:rStyle w:val="Style8"/>
                  <w:rFonts w:eastAsia="Calibri" w:cs="Arial" w:ascii="Arial" w:hAnsi="Arial"/>
                  <w:iCs/>
                  <w:color w:val="623B2A"/>
                  <w:kern w:val="0"/>
                  <w:sz w:val="21"/>
                  <w:szCs w:val="21"/>
                  <w:lang w:val="ru-RU" w:bidi="ar-SA"/>
                </w:rPr>
                <w:t>законом</w:t>
              </w:r>
            </w:hyperlink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 Российской Федерации от 21 июля 1993 г. № 5485-1 «О государственной тайне», - три месяца;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4) при подаче документов не по месту жительства – три месяца;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  <w:vertAlign w:val="superscript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Федерации, содержащих электронные носители информации</w:t>
            </w:r>
            <w:r>
              <w:rPr>
                <w:rStyle w:val="FootnoteReference"/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footnoteReference w:id="2"/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пошлина</w:t>
              <w:br/>
              <w:t>паспорт нового образца – 6000 руб. (граждане до 14 лет – 3000 руб.)</w:t>
              <w:br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 при подаче документов по месту жительства – один месяц;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федерации, - 3 рабочих дня;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3) при оформлении паспорта заявителю, имеющему (имевшему) допуск к сведениям особой важности или совершенно секретным сведениям, отнесенным к государственной тайне в соответствии с </w:t>
            </w:r>
            <w:hyperlink r:id="rId3">
              <w:r>
                <w:rPr>
                  <w:rStyle w:val="Style8"/>
                  <w:rFonts w:eastAsia="Calibri" w:cs="Arial" w:ascii="Arial" w:hAnsi="Arial"/>
                  <w:iCs/>
                  <w:color w:val="623B2A"/>
                  <w:kern w:val="0"/>
                  <w:sz w:val="21"/>
                  <w:szCs w:val="21"/>
                  <w:lang w:val="ru-RU" w:bidi="ar-SA"/>
                </w:rPr>
                <w:t>законом</w:t>
              </w:r>
            </w:hyperlink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 Российской Федерации от 21 июля 1993 г. № 5485-1 «О государственной тайне», - три месяца;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4) при подаче документов не по месту жительства – три месяца.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Предоставляется в МФЦ оснащенных криптокабиной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</w:t>
            </w:r>
          </w:p>
        </w:tc>
        <w:tc>
          <w:tcPr>
            <w:tcW w:w="3264" w:type="dxa"/>
            <w:tcBorders/>
            <w:shd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услуги с учетом доставки комплектов документов в информационный центр и доставки результатов предоставления услуги в МФЦ не должен превышать 30 календарных дней со дня приема документов от заявителя до готовности результата услуги к выдаче заявителю в МФЦ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sz w:val="20"/>
                <w:lang w:eastAsia="ru-RU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505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ФНС</w:t>
            </w:r>
          </w:p>
        </w:tc>
      </w:tr>
      <w:tr>
        <w:trPr>
          <w:trHeight w:val="4502" w:hRule="atLeast"/>
        </w:trPr>
        <w:tc>
          <w:tcPr>
            <w:tcW w:w="402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32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0" w:left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- 3 рабочих дня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3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решение органа: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регистрация юридических лиц, физических лиц в качестве индивидуальных предпринимателей и крестьянских (фермерских) хозяйств – 5 рабочих дней;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внесение записи о начале процедуры реорганизации юридического лица (юридических лиц) – 3 рабочих дня;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решения об отказе – 5 рабочих дней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результатов из органа в МФЦ – 1 рабочий день</w:t>
            </w:r>
          </w:p>
        </w:tc>
      </w:tr>
      <w:tr>
        <w:trPr>
          <w:trHeight w:val="175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плата 100 руб.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срок оказания услуги – 5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2069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сведений – бесплатно;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срок оказания услуги – 5 дней</w:t>
            </w:r>
          </w:p>
        </w:tc>
      </w:tr>
      <w:tr>
        <w:trPr>
          <w:trHeight w:val="3392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запрос об идентификационном номере налогоплательщика и коде причины постановки на учет – плата 200 руб. за каждый запрос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20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срок оказания услуги – 5 дней</w:t>
            </w:r>
          </w:p>
        </w:tc>
      </w:tr>
      <w:tr>
        <w:trPr>
          <w:trHeight w:val="5778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налоговым агентом) обязанности по уплате налогов, сборов, пеней, штрафов, процентов)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20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публичное информирование: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получение информации из органа – 3 рабочих дня со дня получения подписанной начальником (заместителем начальника) информации;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размещение информации в МФЦ - 3 рабочих дня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индивидуальное информирование: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срок оказания услуги – 30 календарных дней (при продлении - 60 календарных дней)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20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20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79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ФССП</w:t>
            </w:r>
          </w:p>
        </w:tc>
      </w:tr>
      <w:tr>
        <w:trPr>
          <w:trHeight w:val="1128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лица.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449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993300"/>
                <w:kern w:val="0"/>
                <w:sz w:val="20"/>
                <w:lang w:val="ru-RU" w:eastAsia="ru-RU" w:bidi="ar-SA"/>
              </w:rPr>
              <w:t>Росреестр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пошлина от 200 до 66 000 рублей</w:t>
            </w:r>
          </w:p>
          <w:p>
            <w:pPr>
              <w:pStyle w:val="Normal"/>
              <w:widowControl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numPr>
                <w:ilvl w:val="0"/>
                <w:numId w:val="3"/>
              </w:numPr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ind w:hanging="1" w:left="1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прав – 9 рабочих дней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tabs>
                <w:tab w:val="clear" w:pos="708"/>
                <w:tab w:val="left" w:pos="265" w:leader="none"/>
              </w:tabs>
              <w:suppressAutoHyphens w:val="true"/>
              <w:spacing w:lineRule="auto" w:line="240" w:before="0" w:after="0"/>
              <w:ind w:hanging="1" w:left="1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государственный кадастровый учет– 7 рабочих дней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tabs>
                <w:tab w:val="clear" w:pos="708"/>
                <w:tab w:val="left" w:pos="265" w:leader="none"/>
              </w:tabs>
              <w:suppressAutoHyphens w:val="true"/>
              <w:spacing w:lineRule="auto" w:line="240" w:before="0" w:after="0"/>
              <w:ind w:hanging="1" w:left="1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государственный кадастровый учета и государственная регистрация прав – 12 рабочих дней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tabs>
                <w:tab w:val="clear" w:pos="708"/>
                <w:tab w:val="left" w:pos="310" w:leader="none"/>
              </w:tabs>
              <w:suppressAutoHyphens w:val="true"/>
              <w:spacing w:lineRule="auto" w:line="240" w:before="0" w:after="0"/>
              <w:ind w:hanging="1" w:left="1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ипотеки жилых помещений – 7 рабочих дней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tabs>
                <w:tab w:val="clear" w:pos="708"/>
                <w:tab w:val="left" w:pos="280" w:leader="none"/>
              </w:tabs>
              <w:suppressAutoHyphens w:val="true"/>
              <w:spacing w:lineRule="auto" w:line="240" w:before="0" w:afterAutospacing="1"/>
              <w:ind w:hanging="1" w:left="1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прав на основании нотариально удостоверенных документов – 5 рабочих дней</w:t>
            </w:r>
          </w:p>
        </w:tc>
      </w:tr>
      <w:tr>
        <w:trPr>
          <w:trHeight w:val="1360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услуга по предоставлению сведений, содержащихся в Едином государственном реестре недвижимости.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размер платы от 340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до 10 000 рублей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3 рабочих дней с момента получения сведений, подтверждающих оплату</w:t>
            </w:r>
          </w:p>
        </w:tc>
      </w:tr>
      <w:tr>
        <w:trPr>
          <w:trHeight w:val="2032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услуга по приему заявлений о предоставлении земельных участков на Дальнем Востоке Российской Федерации в соответствии с Федеральным законом № 119-ФЗ от 01.05.2016 года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447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Росимущество</w:t>
            </w:r>
          </w:p>
        </w:tc>
      </w:tr>
      <w:tr>
        <w:trPr>
          <w:trHeight w:val="197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- в день обращения</w:t>
            </w:r>
          </w:p>
        </w:tc>
      </w:tr>
      <w:tr>
        <w:trPr>
          <w:trHeight w:val="1137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400 рублей за каждый объект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5 рабочих дней со дня поступления запроса в орган</w:t>
            </w:r>
          </w:p>
        </w:tc>
      </w:tr>
      <w:tr>
        <w:trPr>
          <w:trHeight w:val="437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Фонд пенсионного и социального страхования Российской Федерации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государственного сертификата на материнский (семейный) капитал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Решение выносится в срок, не превышающий 5 рабочих дней с даты приема заявления о выдаче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сертификата. Срок принятия решения приостанавливается в случае не поступления в установленный законодательством срок запрашиваемых территориальным органом СФР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сведений. В этом случае решение выносится в срок, не превышающий 15 рабочих дней с даты приема заявления о выдаче сертификата.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документа из органа в МФЦ – 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3) уведомление заявителя о поступлении документа из органа - 1 рабочий день</w:t>
            </w:r>
          </w:p>
        </w:tc>
      </w:tr>
      <w:tr>
        <w:trPr>
          <w:trHeight w:val="192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Рассмотрение заявления о распоряжении средствами (частью средств) материнского (семейного) капитала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Решение выносится в срок, не превышающий 5 рабочих дней с даты приема заявления о распоряжения. Срок принятия решения приостанавливается в случае не поступления в установленный законодательством срок запрашиваемых территориальным органом СФР сведений. В этом случае решение выносится в срок, не превышающий 12 рабочих дней с даты приема заявления о распоряжении.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документа из органа в МФЦ – 2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3) уведомление заявителя о поступлении документа из органа - 3 рабочих дня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Установление ежемесячной денежной выплаты отдельным категориям граждан в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Решение о назначении (отказе) выносится в срок не позднее 10 рабочих дней со дня приема заявления со всеми необходимыми документами и (или) поступления документов (сведений) в порядке межведомственного взаимодействия</w:t>
            </w:r>
            <w:r>
              <w:rPr>
                <w:rFonts w:eastAsia="Calibri" w:cs="TimesNewRomanPSMT" w:ascii="TimesNewRomanPSMT" w:hAnsi="TimesNewRomanPSMT"/>
                <w:kern w:val="0"/>
                <w:sz w:val="18"/>
                <w:szCs w:val="18"/>
                <w:lang w:val="ru-RU" w:eastAsia="ru-RU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документов из МФЦ в орган – 2 рабочих дня (но не позднее 1 октября текущего года)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3) принятие решения органом – 5 рабочих дней</w:t>
            </w:r>
          </w:p>
        </w:tc>
      </w:tr>
      <w:tr>
        <w:trPr>
          <w:trHeight w:val="2018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предоставления государственной услуги исчисляется с даты регистрации заявления (уведомления).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Заявление о выборе УК рассматривается с принятием решения об удовлетворении (с внесением изменений в специальную часть индивидуального лицевого счета застрахованного лица) или отказе в удовлетворении заявления либо оставлении его без рассмотрения в срок до 1 марта года, следующего за годом подачи застрахованным лицом заявления о выборе УК.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документов из МФЦ в орган – 1 рабочий день.</w:t>
            </w:r>
          </w:p>
        </w:tc>
      </w:tr>
      <w:tr>
        <w:trPr>
          <w:trHeight w:val="2038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50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гражданам справок о размере пенсий (иных выплат)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65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Информирование застрахованных лиц о состоянии их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средств для финансирования накопительной пенсии в Российской Федерации»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Установление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территориальный орган – 1 рабочий день;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передача уведомления из органа в МФЦ о принятии заявления–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3) СФР принимает решение не позднее чем через 3 месяца со дня получения заявления из МФЦ</w:t>
            </w:r>
          </w:p>
        </w:tc>
      </w:tr>
      <w:tr>
        <w:trPr>
          <w:trHeight w:val="2154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Выплата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предельный срок оказания услуги по выплате пенсии не более 3 месяцев;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3) выплата пенсии производится с 1-го числа месяца, следующего за месяцем получения органом заявления о перечислении пенсии, но не ранее даты, указанной в заявлении</w:t>
            </w:r>
          </w:p>
        </w:tc>
      </w:tr>
      <w:tr>
        <w:trPr>
          <w:trHeight w:val="2932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 предоставлении услуги по санаторно-курортному лечению, медицинской реабилитации в центрах реабилитации Фонда пенсионного и социального страхования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 Решение о направлении на санаторно-курортное лечение, медицинскую реабилитацию в реабилитационный центр Фонда в течение 2-х рабочих дней со дня поступления заявления и медицинских документов, подтверждающих наличие у участника специальной военной операции медицинских показаний и отсутствие медицинских противопоказаний для получения санаторно-курортного лечения, медицинской реабилитации.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Уведомление о принятом решении осуществляется не позднее рабочего дня, следующего за днем принятия соответствующего решения, посредством единого портала - в личном кабинете на едином портале, при подаче заявления на бумажном носителе - на адрес электронной почты или иным способом, указанным в заявлении.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</w:t>
            </w:r>
            <w:r>
              <w:rPr>
                <w:rFonts w:eastAsia="Calibri" w:cs="Times New Roman"/>
                <w:kern w:val="0"/>
                <w:sz w:val="20"/>
                <w:lang w:val="ru-RU" w:bidi="ar-SA"/>
              </w:rPr>
              <w:t> 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</w:t>
            </w:r>
          </w:p>
        </w:tc>
      </w:tr>
      <w:tr>
        <w:trPr>
          <w:trHeight w:val="884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Информирование граждан об отнесении к категории граждан предпенсионного возраста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максимальный срок – 5 рабочих дней со дней регистрации в органе</w:t>
            </w:r>
          </w:p>
        </w:tc>
      </w:tr>
      <w:tr>
        <w:trPr>
          <w:trHeight w:val="2932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заявления для размещения сведений о транспортном средстве, управляемом инвалидом, или транспортном средстве, перевозящем инвалида и (или) ребенка-инвалида, в государственной информационной системе «Единая централизованная цифровая платформа в социальной сфере»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сведений о трудовой деятельности зарегистрированного лица, содержащихся в его индивидуальном лицевом счете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максимальный срок – 5 рабочих дней со дней регистрации в органе.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пособие назначается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единовременного пособия при передаче ребенка на воспитание в семью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единовременного пособия беременной жене военнослужащего, проходящего военную службу по призыву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1870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заявления о назначении мер социальной поддержки, установленных законодательством Российской Федерации, гражданам из числа военнослужащих и членов их семей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решение о назначении (отказе) принимается в течение 5 рабочих дней со дня поступления в территориальный орган СФР документов (сведений), предусмотренных перечнем. При этом срок ожидания ответа на межведомственный запрос не может превышать 5 рабочих дней.</w:t>
            </w:r>
          </w:p>
        </w:tc>
      </w:tr>
      <w:tr>
        <w:trPr>
          <w:trHeight w:val="387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 назначении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shd w:fill="FFFFFF" w:val="clear"/>
                <w:lang w:val="ru-RU" w:bidi="ar-SA"/>
              </w:rPr>
              <w:t xml:space="preserve"> мер социальной поддержки,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 установленных законодательством Российской Федерации, подвергшимся воздействию радиации вследствие техногенных катастроф, и членам их семей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Calibri" w:hAnsi="Calibri" w:eastAsia="Calibri" w:cs="Times New Roman"/>
                <w:kern w:val="0"/>
                <w:sz w:val="20"/>
                <w:lang w:val="ru-RU" w:bidi="ar-SA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решение о предоставлении (отказе) компенсации принимается территориальным органом СФР не позднее 2-го рабочего дня со дня поступления в территориальный орган СФР документов (сведений). При этом, срок ожидания ответа на межведомственный запрос не может превышать 5 рабочих дней</w:t>
            </w:r>
          </w:p>
        </w:tc>
      </w:tr>
      <w:tr>
        <w:trPr>
          <w:trHeight w:val="194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 назначении мер социальной поддержки, установленных законодательством Российской Федерации, инвалидам (в том числе детям-инвалидам), имеющим транспортные средства в соответствии с медицинскими показаниями, или их законным представителям,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максимальный срок – 5 рабочих дней со дней регистрации в органе.</w:t>
            </w:r>
          </w:p>
        </w:tc>
      </w:tr>
      <w:tr>
        <w:trPr>
          <w:trHeight w:val="194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ежемесячного пособия в связи с рождением и воспитанием ребенка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решение принимается в течение 10 рабочих дней со дня регистрации заявления. Срок принятия решения продлевается на 20 рабочих дней в случае не поступления документов (сведений), представленных позднее 5 рабочих дней со дня регистрации заявления о назначении ежемесячного пособия.</w:t>
            </w:r>
          </w:p>
        </w:tc>
      </w:tr>
      <w:tr>
        <w:trPr>
          <w:trHeight w:val="2653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contextualSpacing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В срок, не превышающий трех рабочих дней со дня получения территориальным органом Фонда по месту жительства последнего документа (сведений), необходимого для регистрации (снятия с регистрационного учета) в качестве страхователя.</w:t>
            </w:r>
          </w:p>
        </w:tc>
      </w:tr>
      <w:tr>
        <w:trPr>
          <w:trHeight w:val="271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документов, служащих основанием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поступивших в территориальный орган Фонда документов, осуществляется в срок не позднее одного рабочего дня, следующего за днем поступления в территориальный орган Фонда.</w:t>
            </w:r>
          </w:p>
        </w:tc>
      </w:tr>
      <w:tr>
        <w:trPr>
          <w:trHeight w:val="1270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en-US" w:bidi="ar-SA"/>
              </w:rPr>
              <w:t> 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en-US" w:bidi="ar-SA"/>
              </w:rPr>
              <w:t> 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Уполномоченный орган рассматривает заявление, в 15-дневный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с даты его поступления. При наличии действующего государственного контракта на обеспечение техническим средством (изделием) в соответствии с заявлением, одновременно с уведомлением уполномоченный орган высылает инвалиду (ветерану) направление на поучение либо изготовление технического средства (изделия). При отсутствии действующего контракта не позднее 30 календарных дней со дня подачи инвалидом заявления размещается извещение, о проведении закупки соответствующего технического средства (изделия), в единой информационной системе в сфере закупок. В 7-дневный срок с даты заключения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 оформляется направление на обеспечение техническим средством реабилитации.</w:t>
            </w:r>
          </w:p>
        </w:tc>
      </w:tr>
      <w:tr>
        <w:trPr>
          <w:trHeight w:val="1270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по регистрации и снятию с регистрационного учета страхователей - физических лиц, заключивших трудовой договор с работником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</w:tc>
      </w:tr>
      <w:tr>
        <w:trPr>
          <w:trHeight w:val="1270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по регистрации и снятию с регистрационного учета страхователей - физических лиц, обязанных уплачивать страховые взносы в связи с заключением гражданско-правового договора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</w:tc>
      </w:tr>
      <w:tr>
        <w:trPr>
          <w:trHeight w:val="183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 назначении ежемесячных выплат трудоспособным лицам, осуществляющим уход за детьми-инвалидами в возрасте до 18 лет или инвалидами с детства 1 группы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</w:t>
            </w:r>
            <w:r>
              <w:rPr>
                <w:rFonts w:eastAsia="Calibri" w:cs="Times New Roman"/>
                <w:kern w:val="0"/>
                <w:sz w:val="20"/>
                <w:lang w:val="ru-RU" w:bidi="ar-SA"/>
              </w:rPr>
              <w:t> 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рассмотрения заявления органом в течение 10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183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Noto Sans" w:cs="Noto Sans" w:ascii="Arial" w:hAnsi="Arial"/>
                <w:iCs/>
                <w:color w:val="623B2A"/>
                <w:kern w:val="0"/>
                <w:sz w:val="21"/>
                <w:szCs w:val="21"/>
                <w:lang w:val="ru-RU" w:eastAsia="zh-CN" w:bidi="ar-SA"/>
              </w:rPr>
              <w:t>Прием заявлений о назначении ежегодной семейной выплаты гражданам Российской Федерации, имеющим 2 и более детей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suppressAutoHyphens w:val="true"/>
              <w:spacing w:lineRule="atLeast" w:line="0" w:before="0" w:after="160"/>
              <w:ind w:hanging="0" w:left="0" w:right="0"/>
              <w:jc w:val="left"/>
              <w:rPr>
                <w:rFonts w:ascii="Arial" w:hAnsi="Arial" w:eastAsia="Noto Sans" w:cs="Noto Sans"/>
                <w:color w:val="623B2A"/>
                <w:sz w:val="22"/>
                <w:szCs w:val="22"/>
                <w:lang w:eastAsia="zh-CN"/>
              </w:rPr>
            </w:pPr>
            <w:r>
              <w:rPr>
                <w:rFonts w:eastAsia="Noto Sans" w:cs="Noto Sans" w:ascii="Arial" w:hAnsi="Arial"/>
                <w:color w:val="623B2A"/>
                <w:sz w:val="21"/>
                <w:szCs w:val="21"/>
                <w:lang w:eastAsia="zh-CN"/>
              </w:rPr>
              <w:t xml:space="preserve">срок принятия решения - 10 рабочих дней, срок может быть продлен до 20 рабочих дней в случае не поступления документов (сведений), запрашиваемых в рамках </w:t>
            </w:r>
            <w:r>
              <w:rPr>
                <w:rFonts w:eastAsia="Noto Sans" w:cs="Noto Sans" w:ascii="Arial" w:hAnsi="Arial"/>
                <w:iCs/>
                <w:color w:val="623B2A"/>
                <w:kern w:val="0"/>
                <w:sz w:val="21"/>
                <w:szCs w:val="21"/>
                <w:lang w:val="ru-RU" w:eastAsia="zh-CN" w:bidi="ar-SA"/>
              </w:rPr>
              <w:t>межведомственного электронного взаимодействия</w:t>
            </w:r>
          </w:p>
        </w:tc>
      </w:tr>
      <w:tr>
        <w:trPr>
          <w:trHeight w:val="463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Минцифры России</w:t>
            </w:r>
          </w:p>
        </w:tc>
      </w:tr>
      <w:tr>
        <w:trPr>
          <w:trHeight w:val="463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Прохождение процедуры идентификации личности по заявлению на оформление персонифицированной карты для посещения спортивного мероприятия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463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Установление запрета (снятие запрета) на заключение договоров об оказании услуг подвижной радиотелефонной связи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Региональные услуги</w:t>
            </w:r>
          </w:p>
        </w:tc>
      </w:tr>
      <w:tr>
        <w:trPr>
          <w:trHeight w:val="287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Перечень государственных услуг в сфере социальной поддержки населения</w:t>
            </w:r>
          </w:p>
        </w:tc>
      </w:tr>
      <w:tr>
        <w:trPr>
          <w:trHeight w:val="1304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и организация предоставления гражданам субсидий на оплату жилых помещений и коммунальных услуг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9" w:right="57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10 рабочих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9" w:right="57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Компенсация расходов по оплате жилого помещения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10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2494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Социальная поддержка семей, имеющих детей (в том числе многодетных семей, одиноких родителей) (назначение и выплата пособия на ребенка)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 необходимости дополнительной проверки сведений, представленных заявителем, решение о назначении и выплате пособия на ребенка либо об отказе в его назначении должно быть принято ОСЗН не позднее 30 дней со дня подачи заявления</w:t>
            </w:r>
          </w:p>
        </w:tc>
      </w:tr>
      <w:tr>
        <w:trPr>
          <w:trHeight w:val="2778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Принятие решения о предоставлении услуг по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32"/>
                <w:szCs w:val="32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сурдопереводу инвалидам по слуху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32"/>
                <w:szCs w:val="32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20 рабочих дней со дня регистрации заявления со всеми необходимыми документами</w:t>
            </w:r>
          </w:p>
        </w:tc>
      </w:tr>
      <w:tr>
        <w:trPr>
          <w:trHeight w:val="2778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Принятие решения об обеспечении техническими и тифлотехническими средствами реабилитации инвалидов с заболеванием опорно-двигательного аппарата,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инвалидов по зрению, инвалидов по слуху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20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ежемесячных денежных выплат малоимущим семьям, имеющим детей первого-второго года жизни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ежемесячных денежных выплат на детей из многодетных семей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389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Оказание государственной социальной помощи отдельным категориям граждан (предоставление государственной социальной помощи в виде социального пособия)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документами. При необходимости дополнительной проверки решение о назначении должно быть принято ОСЗН не позднее 30 дней со дня подачи заявления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справок студентам для получения государственной социальной стипендии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удостоверения «Участник ликвидации последствий катастрофы на Чернобыльской АЭС»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месячный срок со дня принятия от гражданина заявления с приложением необходимых документов на получение удостоверения;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  <w:highlight w:val="yellow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удостоверения «получившего (ей) или перенесшего (ей) лучевую болезнь и другие заболевания, связанные с радиационным воздействием вследствие катастрофы на Чернобыльской АЭС, ставшего(ей) инвалидом»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месячный срок со дня принятия от гражданина заявления с приложением необходимых документов на получение удостоверения;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strike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Признание гражданина нуждающимся в социальном обслуживании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5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документов граждан для принятия решения о присвоении им звания "Ветеран труда" и выдача гражданам удостоверения ветерана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не более 60 дней со дня регистрации заявления со всеми необходимыми документами</w:t>
            </w:r>
          </w:p>
        </w:tc>
      </w:tr>
      <w:tr>
        <w:trPr>
          <w:trHeight w:val="2994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Социальная поддержка отдельных категорий граждан в соответствии с принятыми нормативными актами субъекта Российской Федерации (прием документов граждан для принятия решения о присвоении им звания «Ветеран труда Ростовской области» и выдача гражданам удостоверений ветерана труда Ростовской области)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не более 60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Оплата расходов на газификацию домовладения (квартиры)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30 календарных дней со дня регистрации заявления со всеми необходимыми документами</w:t>
            </w:r>
          </w:p>
        </w:tc>
      </w:tr>
      <w:tr>
        <w:trPr>
          <w:trHeight w:val="2210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Выплата компенсации за проезд в пределах территории Российской Федерации (туда и обратно) один раз в год железнодорожным транспортом, а в районах, не имеющих железнодорожного сообщения, - 50 процентов стоимости проезда водным, воздушным или междугородным автомобильным транспортом реабилитированным гражданам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ежегодной денежной выплаты гражданам, награжденным нагрудными знаками «Почетный донор СССР», «Почетный донор России»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Социальная поддержка жертв политических репрессий (выплата реабилитированным гражданам денежной компенсации на установку телефона)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от региональных льготников для выдачи льготной проездной карты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Calibri" w:hAnsi="Calibri" w:eastAsia="Calibri" w:cs="Times New Roman"/>
                <w:kern w:val="0"/>
                <w:sz w:val="20"/>
                <w:lang w:val="ru-RU" w:bidi="ar-SA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</w:t>
            </w:r>
          </w:p>
        </w:tc>
      </w:tr>
      <w:tr>
        <w:trPr>
          <w:trHeight w:val="651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Снижение стоимости лекарств по рецепту врача на 50 процентов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773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361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гражданам удостоверений (дубликатов удостоверений), подтверждающих право на меры социальной поддержки в соответствии с Федеральным законом от 12.01.1995 N 5-ФЗ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15 рабочих дней со дня регистрации заявления со всеми необходимыми документами</w:t>
            </w:r>
          </w:p>
        </w:tc>
      </w:tr>
      <w:tr>
        <w:trPr>
          <w:trHeight w:val="2322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(лица, признанные в установленном законом порядке недееспособными)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18 рабочих дней</w:t>
            </w:r>
          </w:p>
        </w:tc>
      </w:tr>
      <w:tr>
        <w:trPr>
          <w:trHeight w:val="1074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сертификата на региональный материнский капитал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30 дней со дня регистрации заявления со всеми необходимыми документами</w:t>
            </w:r>
          </w:p>
        </w:tc>
      </w:tr>
      <w:tr>
        <w:trPr>
          <w:trHeight w:val="143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ежемесячных денежных выплат на полноценное питание беременных женщин из малоимущих семей, кормящих матерей и детей в возрасте до трех лет из малоимущих семей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278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Компенсация расходов на уплату взносов на капитальный ремонт общего имущества в многоквартирном доме отдельным категориям граждан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2541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Ежемесячная денежная выплата региональным льготникам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от федеральных льготников для выдачи электронного социального проездного билета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удостоверения, подтверждающего статус многодетной семьи в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течение 30 рабочих дней с даты регистрации заявления ОСЗН, а в случае направления запросов в рамках межведомственного взаимодействия - в течение 40 рабочих дней с даты регистрации заявления ОСЗН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меры социальной поддержки семей в связи с рождением ребенка в виде электронного сертификата на приобретение товаров и вещей, необходимых новорожденным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15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Присвоение звания «Ветеран труда»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14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Присвоение звания «Ветеран труда Ростовской области»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14 рабочих дней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Noto Sans" w:cs="Arial" w:ascii="Arial" w:hAnsi="Arial"/>
                <w:iCs/>
                <w:color w:val="623B2A"/>
                <w:kern w:val="0"/>
                <w:sz w:val="21"/>
                <w:szCs w:val="21"/>
                <w:lang w:val="ru-RU" w:eastAsia="zh-CN" w:bidi="ar-SA"/>
              </w:rPr>
              <w:t>Компенсация в размере 50 процентов стоимости обучения в организациях среднего профессионального образования и высшего профессионального образования одного из детей многодетной семьи при рождении третьего или последующих детей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Noto Sans" w:cs="Arial" w:ascii="Arial" w:hAnsi="Arial"/>
                <w:iCs/>
                <w:color w:val="623B2A"/>
                <w:kern w:val="0"/>
                <w:sz w:val="21"/>
                <w:szCs w:val="21"/>
                <w:lang w:val="ru-RU" w:eastAsia="zh-CN" w:bidi="ar-SA"/>
              </w:rPr>
              <w:t>срок оказания услуги – в течение 10 рабочих дней</w:t>
            </w:r>
          </w:p>
        </w:tc>
      </w:tr>
      <w:tr>
        <w:trPr>
          <w:trHeight w:val="734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</w:tr>
      <w:tr>
        <w:trPr>
          <w:trHeight w:val="110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Министерство общего и профессионального образования Ростовской области</w:t>
            </w:r>
          </w:p>
        </w:tc>
      </w:tr>
      <w:tr>
        <w:trPr>
          <w:trHeight w:val="734" w:hRule="atLeast"/>
        </w:trPr>
        <w:tc>
          <w:tcPr>
            <w:tcW w:w="3908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архивных справок на основании документов, находящихся на хранении в ведомственном архиве министерства общего и профессионального образования Ростовской области</w:t>
            </w:r>
          </w:p>
        </w:tc>
        <w:tc>
          <w:tcPr>
            <w:tcW w:w="3516" w:type="dxa"/>
            <w:gridSpan w:val="3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533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Организация отдыха и оздоровления детей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57" w:right="-108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о предоставлении бесплатных путевок в течение 30 дней; о предоставлении компенсации - 20 рабочих дней</w:t>
            </w:r>
          </w:p>
        </w:tc>
      </w:tr>
      <w:tr>
        <w:trPr>
          <w:trHeight w:val="639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Министерство строительства, архитектуры и территориального развития Ростовской области</w:t>
            </w:r>
          </w:p>
        </w:tc>
      </w:tr>
      <w:tr>
        <w:trPr>
          <w:trHeight w:val="4616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10 календарных дней</w:t>
            </w:r>
          </w:p>
        </w:tc>
      </w:tr>
      <w:tr>
        <w:trPr>
          <w:trHeight w:val="4478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сооружений, линий связи)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10 календарных дней</w:t>
            </w:r>
          </w:p>
        </w:tc>
      </w:tr>
      <w:tr>
        <w:trPr>
          <w:trHeight w:val="417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Министерство природных ресурсов и экологии Ростовской области</w:t>
            </w:r>
          </w:p>
        </w:tc>
      </w:tr>
      <w:tr>
        <w:trPr>
          <w:trHeight w:val="811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в пределах земель лесного фонда лесных участков в постоянное (бессрочное) пользование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30 рабочих дней</w:t>
            </w:r>
          </w:p>
        </w:tc>
      </w:tr>
      <w:tr>
        <w:trPr>
          <w:trHeight w:val="882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30 рабочих дней</w:t>
            </w:r>
          </w:p>
        </w:tc>
      </w:tr>
      <w:tr>
        <w:trPr>
          <w:trHeight w:val="1232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права пользования недрами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– 7500 рублей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95 рабочих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Внесение изменений в лицензию на право пользования недрами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– 750 рублей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59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90 рабочих дней</w:t>
            </w:r>
          </w:p>
        </w:tc>
      </w:tr>
      <w:tr>
        <w:trPr>
          <w:trHeight w:val="848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Переоформление лицензии на право пользования недрами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– 750 рублей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90 рабочих дней</w:t>
            </w:r>
          </w:p>
        </w:tc>
      </w:tr>
      <w:tr>
        <w:trPr>
          <w:trHeight w:val="1012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Прекращение права пользования недрами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– 750 рублей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60 рабочих дней</w:t>
            </w:r>
          </w:p>
        </w:tc>
      </w:tr>
      <w:tr>
        <w:trPr>
          <w:trHeight w:val="1101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- 650 рублей;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сбор за пользование объектами животного мира ставки сбора за каждый объект животного мира устанавливаются пунктами 2 и 3. статьи 333.3.НК РФ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59" w:before="0" w:after="160"/>
              <w:ind w:hanging="0" w:left="0"/>
              <w:jc w:val="left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- 5 рабочих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и аннулирование охотничьих билетов единого федерального образца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59" w:before="0" w:after="160"/>
              <w:ind w:hanging="0" w:left="0"/>
              <w:jc w:val="left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- 5 рабочих дней</w:t>
            </w:r>
          </w:p>
        </w:tc>
      </w:tr>
      <w:tr>
        <w:trPr>
          <w:trHeight w:val="207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Комитет по молодежной политике Ростовской области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Формирование областного реестра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5 рабочих дней</w:t>
            </w:r>
          </w:p>
        </w:tc>
      </w:tr>
      <w:tr>
        <w:trPr>
          <w:trHeight w:val="793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субсидий студенческим отрядам Ростовской области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18 рабочих дней</w:t>
            </w:r>
          </w:p>
        </w:tc>
      </w:tr>
      <w:tr>
        <w:trPr>
          <w:trHeight w:val="2110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субсидий молодежным и детским общественным объединениям, входящим в областной реестр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28 рабочих дней</w:t>
            </w:r>
          </w:p>
        </w:tc>
      </w:tr>
      <w:tr>
        <w:trPr>
          <w:trHeight w:val="222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Управление ветеринарии Ростовской области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Регистрация специалистов в области ветеринарии, занимающихся предпринимательской деятельностью в области ветеринарии на территории Ростовской области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10 рабочих дней</w:t>
            </w:r>
          </w:p>
        </w:tc>
      </w:tr>
      <w:tr>
        <w:trPr>
          <w:trHeight w:val="179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ЗАГС</w:t>
            </w:r>
          </w:p>
        </w:tc>
      </w:tr>
      <w:tr>
        <w:trPr>
          <w:trHeight w:val="857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заключения брака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стоимость подачи заявления в ЗАГС составляет 350 рублей.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63300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по истечении месяца со дня подачи заявления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регистрация расторжения брака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размер государственной пошлины году за подачу заявления в ЗАГС на развод составляет 5000 рублей с каждого из супругов.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63300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по истечении месяца со дня подачи заявления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Выдача повторного свидетельства о государственной регистрации акта гражданского состояния и иных документов, подтверждающих наличие либо отсутствие факта государственной регистрации акта гражданского состояния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84" w:right="-28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государственная пошлина,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500 рублей -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за выдачу повторного свидетельства о государственной регистрации акта гражданского состояния;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1"/>
                <w:szCs w:val="21"/>
                <w:lang w:val="ru-RU" w:bidi="ar-SA"/>
              </w:rPr>
              <w:t>350 рублей –за выдачу справок из архивов органов записи актов гражданского состояния.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63300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eastAsia="Calibri" w:cs="Arial" w:ascii="Arial" w:hAnsi="Arial"/>
                <w:i/>
                <w:color w:val="623B2A"/>
                <w:kern w:val="0"/>
                <w:sz w:val="21"/>
                <w:szCs w:val="21"/>
                <w:lang w:val="ru-RU" w:bidi="ar-SA"/>
              </w:rPr>
              <w:t>В МФЦ доступна безналичная оплата пошлины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63300"/>
              </w:rPr>
            </w:pPr>
            <w:r>
              <w:rPr>
                <w:rFonts w:eastAsia="Calibri" w:cs="Arial" w:ascii="Arial" w:hAnsi="Arial"/>
                <w:iCs/>
                <w:color w:val="663300"/>
                <w:kern w:val="0"/>
                <w:sz w:val="20"/>
                <w:lang w:val="ru-RU" w:bidi="ar-SA"/>
              </w:rPr>
              <w:t>30 календарных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84" w:right="-28"/>
              <w:jc w:val="center"/>
              <w:rPr>
                <w:rFonts w:ascii="Arial" w:hAnsi="Arial" w:cs="Arial"/>
                <w:iCs/>
                <w:color w:val="663300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63300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63300"/>
              </w:rPr>
            </w:pPr>
            <w:r>
              <w:rPr>
                <w:rFonts w:cs="Arial" w:ascii="Arial" w:hAnsi="Arial"/>
                <w:iCs/>
                <w:color w:val="663300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Комитет по управлению архивным делом Ростовской области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пошлина - по исполнению тематических, имущественных и биографических запросов (для архивов, предоставляющих услугу платно).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30 календарных дней.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случаях необходимости предоставления Заявителем дополнительных сведений для исполнения запроса, просматривания большого объема архивных документов, размещения архивохранилищ вне основной территории Архива, переезда Архива, недостаточно развернутого научно-справочного аппарата, проведения научно-технической обработки документов, их реставрации срок предоставления государственной услуги продлевается, но не более чем на 30 календарных дней</w:t>
            </w:r>
          </w:p>
        </w:tc>
      </w:tr>
      <w:tr>
        <w:trPr>
          <w:trHeight w:val="315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sz w:val="20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Департамент по предупреждению и ликвидации чрезвычайных ситуаций Ростовской области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11 календарных дней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услуга предоставляется Заявителю, если обращение за ней последовало не позднее 1 месяца со дня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11 календарных дней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государственная услуга предоставляется Заявителю, если обращение за ней последовало не позднее 1 месяца со дня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val="clear"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both"/>
              <w:rPr>
                <w:rFonts w:ascii="Arial" w:hAnsi="Arial" w:cs="Arial"/>
                <w:color w:val="583D2E"/>
                <w:sz w:val="21"/>
                <w:szCs w:val="21"/>
              </w:rPr>
            </w:pPr>
            <w:r>
              <w:rPr>
                <w:rFonts w:cs="Arial" w:ascii="Arial" w:hAnsi="Arial"/>
                <w:color w:val="583D2E"/>
                <w:sz w:val="21"/>
                <w:szCs w:val="21"/>
              </w:rPr>
            </w:r>
          </w:p>
        </w:tc>
        <w:tc>
          <w:tcPr>
            <w:tcW w:w="3264" w:type="dxa"/>
            <w:tcBorders/>
            <w:shd w:val="clea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shd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116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Типовые муниципальные услуги*</w:t>
            </w:r>
          </w:p>
        </w:tc>
      </w:tr>
      <w:tr>
        <w:trPr>
          <w:trHeight w:val="579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 xml:space="preserve"> </w:t>
            </w: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Муниципальные услуги в сфере земельно-имущественных отношений</w:t>
            </w:r>
          </w:p>
        </w:tc>
      </w:tr>
      <w:tr>
        <w:trPr>
          <w:trHeight w:val="157" w:hRule="atLeast"/>
        </w:trPr>
        <w:tc>
          <w:tcPr>
            <w:tcW w:w="10957" w:type="dxa"/>
            <w:gridSpan w:val="5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Муниципальные услуги в сфере архитектуры и градостроительства</w:t>
            </w:r>
          </w:p>
        </w:tc>
      </w:tr>
      <w:tr>
        <w:trPr>
          <w:trHeight w:val="143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Муниципальные услуги в жилищной сфере</w:t>
            </w:r>
          </w:p>
        </w:tc>
      </w:tr>
      <w:tr>
        <w:trPr>
          <w:trHeight w:val="143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Муниципальные услуги в сфере архивного дела</w:t>
            </w:r>
          </w:p>
        </w:tc>
      </w:tr>
      <w:tr>
        <w:trPr>
          <w:trHeight w:val="143" w:hRule="atLeast"/>
        </w:trPr>
        <w:tc>
          <w:tcPr>
            <w:tcW w:w="10957" w:type="dxa"/>
            <w:gridSpan w:val="5"/>
            <w:tcBorders/>
            <w:shd w:color="FBE4D5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Муниципальные услуги в социальной сфере</w:t>
            </w:r>
          </w:p>
        </w:tc>
      </w:tr>
      <w:tr>
        <w:trPr>
          <w:trHeight w:val="309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Негосударственные услуги</w:t>
            </w:r>
          </w:p>
        </w:tc>
      </w:tr>
      <w:tr>
        <w:trPr>
          <w:trHeight w:val="576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Корпорация МСП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Услуга по информированию о Цифровой платформе МСП.РФ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срок оказания услуги – 1 рабочий день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417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ОАО «ИнфоТеКС Интернет Траст»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(Очная идентификация пользователей для получения сертификата усиленной квалифицированной электронной подписи в мобильном приложении «Госключ»)</w:t>
            </w:r>
          </w:p>
        </w:tc>
      </w:tr>
      <w:tr>
        <w:trPr>
          <w:trHeight w:val="417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Уполномоченный по защите прав предпринимателей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АНО «РРАПП»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</w:tr>
      <w:tr>
        <w:trPr>
          <w:trHeight w:val="381" w:hRule="atLeast"/>
        </w:trPr>
        <w:tc>
          <w:tcPr>
            <w:tcW w:w="10957" w:type="dxa"/>
            <w:gridSpan w:val="5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Услуги по переводу документов с иностранного языка на русский*</w:t>
            </w:r>
          </w:p>
        </w:tc>
      </w:tr>
      <w:tr>
        <w:trPr>
          <w:trHeight w:val="400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</w:tr>
      <w:tr>
        <w:trPr>
          <w:trHeight w:val="381" w:hRule="atLeast"/>
        </w:trPr>
        <w:tc>
          <w:tcPr>
            <w:tcW w:w="10957" w:type="dxa"/>
            <w:gridSpan w:val="5"/>
            <w:tcBorders/>
            <w:vAlign w:val="center"/>
          </w:tcPr>
          <w:p>
            <w:pPr>
              <w:pStyle w:val="Normal"/>
              <w:widowControl/>
              <w:shd w:val="solid" w:color="FBE4D5"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Услуги, доступные к оформлению для участников СВО и членов их семей в рамках приема комплексного запроса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компенсации расходов на оплату жилого помещения и коммунальных услуг, в том числе взноса на капитальный ремонт общего имущества в многоквартирном доме в размере 50 процентов в соответствии с Областным законом Ростовской области от 28.11.2023 № 45-ЗС «О социальной поддержке членов семей лиц, принимающих участие в специальной военной операции»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 (следующий за днем приема)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cs="Arial" w:ascii="Arial" w:hAnsi="Arial"/>
                <w:iCs/>
                <w:color w:val="623B2A"/>
                <w:sz w:val="21"/>
                <w:szCs w:val="21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 субсидировании процентной ставки по жилищному кредиту от участников специальной военной операции и членов их семей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1) передача документов из МФЦ в орган – 1 рабочий день (следующий за днем приема)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2) принятие решения органом – в течение 3 рабочих дней поступает уведомление от органа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Реструктуризация задолженности по действующим договорам микрозайма заемщикам, призванных на военную службу по мобилизации в Вооруженные Силы Российской Федерации, а также заемщиков, заключивших контракт о добровольном содействии в выполнении задач, возложенных на Вооруженные Силы Российской Федерации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 (следующий за днем приема)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по установлению ежемесячной денежной выплаты отдельным категориям граждан (участникам СВО и членам семьи) в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 (следующий за днем приема)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Предоставление государственной услуги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передача документов из МФЦ в Орган – 1 рабочий день (следующий за днем приема)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от участников СВО по обжалованию отказов в выдаче справки, подтверждающей участие в специальной военной операции по линии Министерства обороны Российской Федерации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15 календарных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Прием заявлений от членов семей участников СВО по обжалованию отказов в выдаче справки, подтверждающей участие в специальной военной операции по линии Министерства обороны Российской Федерации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15 календарных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Организация комплексного сопровождения отдельной категории лиц социальным координатором филиала Государственного Фонда поддержки участников специальной военной операции "Защитники Отечества" по Ростовской области</w:t>
            </w:r>
          </w:p>
        </w:tc>
        <w:tc>
          <w:tcPr>
            <w:tcW w:w="3264" w:type="dxa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FFFFF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10 рабочих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lang w:eastAsia="ru-RU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kern w:val="0"/>
                <w:sz w:val="20"/>
                <w:lang w:val="ru-RU" w:eastAsia="ru-RU" w:bidi="ar-SA"/>
              </w:rPr>
              <w:t>Прочие услуги и сервисы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Cs/>
                <w:iCs/>
                <w:color w:val="99330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iCs/>
                <w:color w:val="993300"/>
                <w:sz w:val="20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Осуществление процедуры внесудебного банкротства гражданина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обращения. Процедура внесудебного банкротства завершается по истечении шести месяцев со дня включения сведений о возбуждении процедуры внесудебного банкротства гражданина в Единый федеральный реестр сведений о банкротстве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Направление (получение) документов в электронном виде, в том числе в форме электронного документа, в Ростовский областной суд, районные (городские) суды Ростовской области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Регистрация граждан в ЕСИА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Распечатывание Сертификата о вакцинации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Организация реализации проекта «Лица Победы»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обращения. Информация, направленная на сайт проекта «Лица Победы» обрабатывается в течении нескольких дней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Получение результатов оказания услуги от Единого портала государственных и муниципальных услуг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Оцифровка документов в электронный вид и отправка на Единый портал государственных и муниципальных услуг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Подача заявки на проведение онлайн-консультации в рамках проекта «МФЦ – общественные приемные органов власти и организаций»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color w:val="623B2A"/>
                <w:kern w:val="0"/>
                <w:sz w:val="21"/>
                <w:szCs w:val="21"/>
                <w:shd w:fill="FFFFFF" w:val="clear"/>
                <w:lang w:val="ru-RU" w:bidi="ar-SA"/>
              </w:rPr>
              <w:t>Отказ от сбора и размещения биометрических персональных данных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 календарный день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Отзыв отказа от сбора и размещения биометрических персональных данных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1 календарный день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color w:val="623B2A"/>
                <w:kern w:val="0"/>
                <w:sz w:val="21"/>
                <w:szCs w:val="21"/>
                <w:shd w:fill="FFFFFF" w:val="clear"/>
                <w:lang w:val="ru-RU" w:bidi="ar-SA"/>
              </w:rPr>
              <w:t>Информирование о статусе отказа ФЛ от сбора биометрии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Идентификация личности на оформление карты болельщика (заявка уже подана через ЕПГУ)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Оформление карты болельщика (подача заявки через МФЦ)</w:t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Комплексная помощь заявителям, пострадавшим от мошенничества и киберпреступлений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ind w:left="-113"/>
              <w:jc w:val="left"/>
              <w:rPr>
                <w:rFonts w:ascii="Arial" w:hAnsi="Arial" w:cs="Arial"/>
                <w:color w:val="623B2A"/>
                <w:sz w:val="21"/>
                <w:szCs w:val="21"/>
                <w:shd w:fill="FFFFFF" w:val="clear"/>
              </w:rPr>
            </w:pPr>
            <w:r>
              <w:rPr>
                <w:rFonts w:cs="Arial" w:ascii="Arial" w:hAnsi="Arial"/>
                <w:color w:val="623B2A"/>
                <w:sz w:val="21"/>
                <w:szCs w:val="21"/>
                <w:shd w:fill="FFFFFF" w:val="clear"/>
              </w:rPr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color w:val="623B2A"/>
                <w:sz w:val="21"/>
                <w:szCs w:val="21"/>
                <w:shd w:fill="FFFFFF" w:val="clear"/>
              </w:rPr>
            </w:pPr>
            <w:r>
              <w:rPr>
                <w:rFonts w:eastAsia="Calibri" w:cs="Arial" w:ascii="Arial" w:hAnsi="Arial"/>
                <w:color w:val="623B2A"/>
                <w:kern w:val="0"/>
                <w:sz w:val="21"/>
                <w:szCs w:val="21"/>
                <w:shd w:fill="FFFFFF" w:val="clear"/>
                <w:lang w:val="ru-RU" w:bidi="ar-SA"/>
              </w:rPr>
              <w:t>Услуга по внесению в кредитную историю сведений о запрете (снятии запрета) на заключение договоров потребительского займа (кредита)</w:t>
            </w:r>
          </w:p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color w:val="623B2A"/>
                <w:sz w:val="21"/>
                <w:szCs w:val="21"/>
                <w:shd w:fill="FFFFFF" w:val="clear"/>
              </w:rPr>
            </w:pPr>
            <w:r>
              <w:rPr>
                <w:rFonts w:cs="Arial" w:ascii="Arial" w:hAnsi="Arial"/>
                <w:color w:val="623B2A"/>
                <w:sz w:val="21"/>
                <w:szCs w:val="21"/>
                <w:shd w:fill="FFFFFF" w:val="clear"/>
              </w:rPr>
            </w:r>
          </w:p>
        </w:tc>
        <w:tc>
          <w:tcPr>
            <w:tcW w:w="32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 рабочих дня</w:t>
            </w:r>
          </w:p>
        </w:tc>
      </w:tr>
      <w:tr>
        <w:trPr>
          <w:trHeight w:val="315" w:hRule="atLeast"/>
        </w:trPr>
        <w:tc>
          <w:tcPr>
            <w:tcW w:w="4020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color w:val="623B2A"/>
                <w:sz w:val="21"/>
                <w:szCs w:val="21"/>
                <w:shd w:fill="FFFFFF" w:val="clear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Услуга по предоставлению сведений о запрете (снятии запрета) на заключение договоров потребительского займа (кредита)</w:t>
            </w:r>
          </w:p>
        </w:tc>
        <w:tc>
          <w:tcPr>
            <w:tcW w:w="3264" w:type="dxa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бесплатно</w:t>
            </w:r>
          </w:p>
        </w:tc>
        <w:tc>
          <w:tcPr>
            <w:tcW w:w="3673" w:type="dxa"/>
            <w:gridSpan w:val="2"/>
            <w:tcBorders/>
            <w:shd w:color="F5EAE0" w:val="solid"/>
            <w:vAlign w:val="center"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left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eastAsia="Calibri" w:cs="Arial" w:ascii="Arial" w:hAnsi="Arial"/>
                <w:iCs/>
                <w:color w:val="623B2A"/>
                <w:kern w:val="0"/>
                <w:sz w:val="21"/>
                <w:szCs w:val="21"/>
                <w:lang w:val="ru-RU" w:bidi="ar-SA"/>
              </w:rPr>
              <w:t>3 рабочих дня</w:t>
            </w:r>
          </w:p>
        </w:tc>
      </w:tr>
    </w:tbl>
    <w:p>
      <w:pPr>
        <w:pStyle w:val="Normal"/>
        <w:spacing w:before="0" w:after="160"/>
        <w:ind w:right="7029"/>
        <w:rPr>
          <w:rFonts w:ascii="Arial" w:hAnsi="Arial" w:cs="Arial"/>
          <w:color w:val="623B2A"/>
          <w:sz w:val="21"/>
          <w:szCs w:val="21"/>
          <w:shd w:fill="FFFFFF" w:val="clear"/>
        </w:rPr>
      </w:pPr>
      <w:r>
        <w:rPr>
          <w:rFonts w:cs="Arial" w:ascii="Arial" w:hAnsi="Arial"/>
          <w:color w:val="623B2A"/>
          <w:sz w:val="21"/>
          <w:szCs w:val="21"/>
          <w:shd w:fill="FFFFFF" w:val="clear"/>
        </w:rPr>
      </w:r>
    </w:p>
    <w:sectPr>
      <w:headerReference w:type="even" r:id="rId4"/>
      <w:headerReference w:type="default" r:id="rId5"/>
      <w:headerReference w:type="first" r:id="rId6"/>
      <w:footnotePr>
        <w:numFmt w:val="decimal"/>
      </w:footnotePr>
      <w:type w:val="nextPage"/>
      <w:pgSz w:w="11906" w:h="16838"/>
      <w:pgMar w:left="624" w:right="567" w:gutter="0" w:header="624" w:top="681" w:footer="0" w:bottom="28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Courier New">
    <w:charset w:val="01"/>
    <w:family w:val="swiss"/>
    <w:pitch w:val="default"/>
  </w:font>
  <w:font w:name="Arial">
    <w:charset w:val="01"/>
    <w:family w:val="swiss"/>
    <w:pitch w:val="default"/>
  </w:font>
  <w:font w:name="TimesNewRomanPSMT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/>
    </w:p>
  </w:footnote>
  <w:footnote w:id="1" w:type="continuationSeparator">
    <w:p>
      <w:r/>
    </w:p>
  </w:footnote>
  <w:footnote w:id="2">
    <w:p>
      <w:pPr>
        <w:pStyle w:val="FootnoteText"/>
        <w:rPr/>
      </w:pPr>
      <w:r>
        <w:rPr>
          <w:rStyle w:val="Style17"/>
        </w:rPr>
        <w:footnoteRef/>
      </w:r>
      <w:r>
        <w:rPr/>
        <w:t xml:space="preserve"> </w:t>
      </w:r>
      <w:r>
        <w:rPr>
          <w:rFonts w:cs="Arial" w:ascii="Arial" w:hAnsi="Arial"/>
          <w:iCs/>
          <w:color w:val="623B2A"/>
          <w:sz w:val="21"/>
          <w:szCs w:val="21"/>
        </w:rPr>
        <w:t>Предоставляется в МФЦ оснащенных ПТК «Криптобиокабина».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16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88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04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0" w:hanging="0"/>
      </w:pPr>
      <w:rPr/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1080" w:hanging="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800" w:hanging="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520" w:hanging="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40" w:hanging="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960" w:hanging="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680" w:hanging="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00" w:hanging="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6120" w:hanging="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840" w:hanging="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42" w:hanging="0"/>
      </w:pPr>
      <w:rPr>
        <w:rFonts w:cs="Times New Roman"/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8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4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30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2"/>
  <w:defaultTabStop w:val="708"/>
  <w:autoHyphenation w:val="true"/>
  <w:hyphenationZone w:val="360"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uiPriority="10" w:semiHidden="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uiPriority="11" w:semiHidden="0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uiPriority="22" w:semiHidden="0" w:unhideWhenUsed="0" w:qFormat="1"/>
    <w:lsdException w:name="Emphasis" w:uiPriority="20" w:semiHidden="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59" w:semiHidden="0" w:unhideWhenUsed="0"/>
    <w:lsdException w:name="Table Theme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Plain Table 1" w:uiPriority="41" w:semiHidden="0" w:unhideWhenUsed="0"/>
    <w:lsdException w:name="Plain Table 2" w:uiPriority="42" w:semiHidden="0" w:unhideWhenUsed="0"/>
    <w:lsdException w:name="Plain Table 3" w:uiPriority="43" w:semiHidden="0" w:unhideWhenUsed="0"/>
    <w:lsdException w:name="Plain Table 4" w:uiPriority="44" w:semiHidden="0" w:unhideWhenUsed="0"/>
    <w:lsdException w:name="Plain Table 5" w:uiPriority="45" w:semiHidden="0" w:unhideWhenUsed="0"/>
    <w:lsdException w:name="Grid Table Light" w:uiPriority="40" w:semiHidden="0" w:unhideWhenUsed="0"/>
    <w:lsdException w:name="Grid Table 1 Light" w:uiPriority="46" w:semiHidden="0" w:unhideWhenUsed="0"/>
    <w:lsdException w:name="Grid Table 2" w:uiPriority="47" w:semiHidden="0" w:unhideWhenUsed="0"/>
    <w:lsdException w:name="Grid Table 3" w:uiPriority="48" w:semiHidden="0" w:unhideWhenUsed="0"/>
    <w:lsdException w:name="Grid Table 4" w:uiPriority="49" w:semiHidden="0" w:unhideWhenUsed="0"/>
    <w:lsdException w:name="Grid Table 5 Dark" w:uiPriority="50" w:semiHidden="0" w:unhideWhenUsed="0"/>
    <w:lsdException w:name="Grid Table 6 Colorful" w:uiPriority="51" w:semiHidden="0" w:unhideWhenUsed="0"/>
    <w:lsdException w:name="Grid Table 7 Colorful" w:uiPriority="52" w:semiHidden="0" w:unhideWhenUsed="0"/>
    <w:lsdException w:name="Grid Table 1 Light Accent 1" w:uiPriority="46" w:semiHidden="0" w:unhideWhenUsed="0"/>
    <w:lsdException w:name="Grid Table 2 Accent 1" w:uiPriority="47" w:semiHidden="0" w:unhideWhenUsed="0"/>
    <w:lsdException w:name="Grid Table 3 Accent 1" w:uiPriority="48" w:semiHidden="0" w:unhideWhenUsed="0"/>
    <w:lsdException w:name="Grid Table 4 Accent 1" w:uiPriority="49" w:semiHidden="0" w:unhideWhenUsed="0"/>
    <w:lsdException w:name="Grid Table 5 Dark Accent 1" w:uiPriority="50" w:semiHidden="0" w:unhideWhenUsed="0"/>
    <w:lsdException w:name="Grid Table 6 Colorful Accent 1" w:uiPriority="51" w:semiHidden="0" w:unhideWhenUsed="0"/>
    <w:lsdException w:name="Grid Table 7 Colorful Accent 1" w:uiPriority="52" w:semiHidden="0" w:unhideWhenUsed="0"/>
    <w:lsdException w:name="Grid Table 1 Light Accent 2" w:uiPriority="46" w:semiHidden="0" w:unhideWhenUsed="0"/>
    <w:lsdException w:name="Grid Table 2 Accent 2" w:uiPriority="47" w:semiHidden="0" w:unhideWhenUsed="0"/>
    <w:lsdException w:name="Grid Table 3 Accent 2" w:uiPriority="48" w:semiHidden="0" w:unhideWhenUsed="0"/>
    <w:lsdException w:name="Grid Table 4 Accent 2" w:uiPriority="49" w:semiHidden="0" w:unhideWhenUsed="0"/>
    <w:lsdException w:name="Grid Table 5 Dark Accent 2" w:uiPriority="50" w:semiHidden="0" w:unhideWhenUsed="0"/>
    <w:lsdException w:name="Grid Table 6 Colorful Accent 2" w:uiPriority="51" w:semiHidden="0" w:unhideWhenUsed="0"/>
    <w:lsdException w:name="Grid Table 7 Colorful Accent 2" w:uiPriority="52" w:semiHidden="0" w:unhideWhenUsed="0"/>
    <w:lsdException w:name="Grid Table 1 Light Accent 3" w:uiPriority="46" w:semiHidden="0" w:unhideWhenUsed="0"/>
    <w:lsdException w:name="Grid Table 2 Accent 3" w:uiPriority="47" w:semiHidden="0" w:unhideWhenUsed="0"/>
    <w:lsdException w:name="Grid Table 3 Accent 3" w:uiPriority="48" w:semiHidden="0" w:unhideWhenUsed="0"/>
    <w:lsdException w:name="Grid Table 4 Accent 3" w:uiPriority="49" w:semiHidden="0" w:unhideWhenUsed="0"/>
    <w:lsdException w:name="Grid Table 5 Dark Accent 3" w:uiPriority="50" w:semiHidden="0" w:unhideWhenUsed="0"/>
    <w:lsdException w:name="Grid Table 6 Colorful Accent 3" w:uiPriority="51" w:semiHidden="0" w:unhideWhenUsed="0"/>
    <w:lsdException w:name="Grid Table 7 Colorful Accent 3" w:uiPriority="52" w:semiHidden="0" w:unhideWhenUsed="0"/>
    <w:lsdException w:name="Grid Table 1 Light Accent 4" w:uiPriority="46" w:semiHidden="0" w:unhideWhenUsed="0"/>
    <w:lsdException w:name="Grid Table 2 Accent 4" w:uiPriority="47" w:semiHidden="0" w:unhideWhenUsed="0"/>
    <w:lsdException w:name="Grid Table 3 Accent 4" w:uiPriority="48" w:semiHidden="0" w:unhideWhenUsed="0"/>
    <w:lsdException w:name="Grid Table 4 Accent 4" w:uiPriority="49" w:semiHidden="0" w:unhideWhenUsed="0"/>
    <w:lsdException w:name="Grid Table 5 Dark Accent 4" w:uiPriority="50" w:semiHidden="0" w:unhideWhenUsed="0"/>
    <w:lsdException w:name="Grid Table 6 Colorful Accent 4" w:uiPriority="51" w:semiHidden="0" w:unhideWhenUsed="0"/>
    <w:lsdException w:name="Grid Table 7 Colorful Accent 4" w:uiPriority="52" w:semiHidden="0" w:unhideWhenUsed="0"/>
    <w:lsdException w:name="Grid Table 1 Light Accent 5" w:uiPriority="46" w:semiHidden="0" w:unhideWhenUsed="0"/>
    <w:lsdException w:name="Grid Table 2 Accent 5" w:uiPriority="47" w:semiHidden="0" w:unhideWhenUsed="0"/>
    <w:lsdException w:name="Grid Table 3 Accent 5" w:uiPriority="48" w:semiHidden="0" w:unhideWhenUsed="0"/>
    <w:lsdException w:name="Grid Table 4 Accent 5" w:uiPriority="49" w:semiHidden="0" w:unhideWhenUsed="0"/>
    <w:lsdException w:name="Grid Table 5 Dark Accent 5" w:uiPriority="50" w:semiHidden="0" w:unhideWhenUsed="0"/>
    <w:lsdException w:name="Grid Table 6 Colorful Accent 5" w:uiPriority="51" w:semiHidden="0" w:unhideWhenUsed="0"/>
    <w:lsdException w:name="Grid Table 7 Colorful Accent 5" w:uiPriority="52" w:semiHidden="0" w:unhideWhenUsed="0"/>
    <w:lsdException w:name="Grid Table 1 Light Accent 6" w:uiPriority="46" w:semiHidden="0" w:unhideWhenUsed="0"/>
    <w:lsdException w:name="Grid Table 2 Accent 6" w:uiPriority="47" w:semiHidden="0" w:unhideWhenUsed="0"/>
    <w:lsdException w:name="Grid Table 3 Accent 6" w:uiPriority="48" w:semiHidden="0" w:unhideWhenUsed="0"/>
    <w:lsdException w:name="Grid Table 4 Accent 6" w:uiPriority="49" w:semiHidden="0" w:unhideWhenUsed="0"/>
    <w:lsdException w:name="Grid Table 5 Dark Accent 6" w:uiPriority="50" w:semiHidden="0" w:unhideWhenUsed="0"/>
    <w:lsdException w:name="Grid Table 6 Colorful Accent 6" w:uiPriority="51" w:semiHidden="0" w:unhideWhenUsed="0"/>
    <w:lsdException w:name="Grid Table 7 Colorful Accent 6" w:uiPriority="52" w:semiHidden="0" w:unhideWhenUsed="0"/>
    <w:lsdException w:name="List Table 1 Light" w:uiPriority="46" w:semiHidden="0" w:unhideWhenUsed="0"/>
    <w:lsdException w:name="List Table 2" w:uiPriority="47" w:semiHidden="0" w:unhideWhenUsed="0"/>
    <w:lsdException w:name="List Table 3" w:uiPriority="48" w:semiHidden="0" w:unhideWhenUsed="0"/>
    <w:lsdException w:name="List Table 4" w:uiPriority="49" w:semiHidden="0" w:unhideWhenUsed="0"/>
    <w:lsdException w:name="List Table 5 Dark" w:uiPriority="50" w:semiHidden="0" w:unhideWhenUsed="0"/>
    <w:lsdException w:name="List Table 6 Colorful" w:uiPriority="51" w:semiHidden="0" w:unhideWhenUsed="0"/>
    <w:lsdException w:name="List Table 7 Colorful" w:uiPriority="52" w:semiHidden="0" w:unhideWhenUsed="0"/>
    <w:lsdException w:name="List Table 1 Light Accent 1" w:uiPriority="46" w:semiHidden="0" w:unhideWhenUsed="0"/>
    <w:lsdException w:name="List Table 2 Accent 1" w:uiPriority="47" w:semiHidden="0" w:unhideWhenUsed="0"/>
    <w:lsdException w:name="List Table 3 Accent 1" w:uiPriority="48" w:semiHidden="0" w:unhideWhenUsed="0"/>
    <w:lsdException w:name="List Table 4 Accent 1" w:uiPriority="49" w:semiHidden="0" w:unhideWhenUsed="0"/>
    <w:lsdException w:name="List Table 5 Dark Accent 1" w:uiPriority="50" w:semiHidden="0" w:unhideWhenUsed="0"/>
    <w:lsdException w:name="List Table 6 Colorful Accent 1" w:uiPriority="51" w:semiHidden="0" w:unhideWhenUsed="0"/>
    <w:lsdException w:name="List Table 7 Colorful Accent 1" w:uiPriority="52" w:semiHidden="0" w:unhideWhenUsed="0"/>
    <w:lsdException w:name="List Table 1 Light Accent 2" w:uiPriority="46" w:semiHidden="0" w:unhideWhenUsed="0"/>
    <w:lsdException w:name="List Table 2 Accent 2" w:uiPriority="47" w:semiHidden="0" w:unhideWhenUsed="0"/>
    <w:lsdException w:name="List Table 3 Accent 2" w:uiPriority="48" w:semiHidden="0" w:unhideWhenUsed="0"/>
    <w:lsdException w:name="List Table 4 Accent 2" w:uiPriority="49" w:semiHidden="0" w:unhideWhenUsed="0"/>
    <w:lsdException w:name="List Table 5 Dark Accent 2" w:uiPriority="50" w:semiHidden="0" w:unhideWhenUsed="0"/>
    <w:lsdException w:name="List Table 6 Colorful Accent 2" w:uiPriority="51" w:semiHidden="0" w:unhideWhenUsed="0"/>
    <w:lsdException w:name="List Table 7 Colorful Accent 2" w:uiPriority="52" w:semiHidden="0" w:unhideWhenUsed="0"/>
    <w:lsdException w:name="List Table 1 Light Accent 3" w:uiPriority="46" w:semiHidden="0" w:unhideWhenUsed="0"/>
    <w:lsdException w:name="List Table 2 Accent 3" w:uiPriority="47" w:semiHidden="0" w:unhideWhenUsed="0"/>
    <w:lsdException w:name="List Table 3 Accent 3" w:uiPriority="48" w:semiHidden="0" w:unhideWhenUsed="0"/>
    <w:lsdException w:name="List Table 4 Accent 3" w:uiPriority="49" w:semiHidden="0" w:unhideWhenUsed="0"/>
    <w:lsdException w:name="List Table 5 Dark Accent 3" w:uiPriority="50" w:semiHidden="0" w:unhideWhenUsed="0"/>
    <w:lsdException w:name="List Table 6 Colorful Accent 3" w:uiPriority="51" w:semiHidden="0" w:unhideWhenUsed="0"/>
    <w:lsdException w:name="List Table 7 Colorful Accent 3" w:uiPriority="52" w:semiHidden="0" w:unhideWhenUsed="0"/>
    <w:lsdException w:name="List Table 1 Light Accent 4" w:uiPriority="46" w:semiHidden="0" w:unhideWhenUsed="0"/>
    <w:lsdException w:name="List Table 2 Accent 4" w:uiPriority="47" w:semiHidden="0" w:unhideWhenUsed="0"/>
    <w:lsdException w:name="List Table 3 Accent 4" w:uiPriority="48" w:semiHidden="0" w:unhideWhenUsed="0"/>
    <w:lsdException w:name="List Table 4 Accent 4" w:uiPriority="49" w:semiHidden="0" w:unhideWhenUsed="0"/>
    <w:lsdException w:name="List Table 5 Dark Accent 4" w:uiPriority="50" w:semiHidden="0" w:unhideWhenUsed="0"/>
    <w:lsdException w:name="List Table 6 Colorful Accent 4" w:uiPriority="51" w:semiHidden="0" w:unhideWhenUsed="0"/>
    <w:lsdException w:name="List Table 7 Colorful Accent 4" w:uiPriority="52" w:semiHidden="0" w:unhideWhenUsed="0"/>
    <w:lsdException w:name="List Table 1 Light Accent 5" w:uiPriority="46" w:semiHidden="0" w:unhideWhenUsed="0"/>
    <w:lsdException w:name="List Table 2 Accent 5" w:uiPriority="47" w:semiHidden="0" w:unhideWhenUsed="0"/>
    <w:lsdException w:name="List Table 3 Accent 5" w:uiPriority="48" w:semiHidden="0" w:unhideWhenUsed="0"/>
    <w:lsdException w:name="List Table 4 Accent 5" w:uiPriority="49" w:semiHidden="0" w:unhideWhenUsed="0"/>
    <w:lsdException w:name="List Table 5 Dark Accent 5" w:uiPriority="50" w:semiHidden="0" w:unhideWhenUsed="0"/>
    <w:lsdException w:name="List Table 6 Colorful Accent 5" w:uiPriority="51" w:semiHidden="0" w:unhideWhenUsed="0"/>
    <w:lsdException w:name="List Table 7 Colorful Accent 5" w:uiPriority="52" w:semiHidden="0" w:unhideWhenUsed="0"/>
    <w:lsdException w:name="List Table 1 Light Accent 6" w:uiPriority="46" w:semiHidden="0" w:unhideWhenUsed="0"/>
    <w:lsdException w:name="List Table 2 Accent 6" w:uiPriority="47" w:semiHidden="0" w:unhideWhenUsed="0"/>
    <w:lsdException w:name="List Table 3 Accent 6" w:uiPriority="48" w:semiHidden="0" w:unhideWhenUsed="0"/>
    <w:lsdException w:name="List Table 4 Accent 6" w:uiPriority="49" w:semiHidden="0" w:unhideWhenUsed="0"/>
    <w:lsdException w:name="List Table 5 Dark Accent 6" w:uiPriority="50" w:semiHidden="0" w:unhideWhenUsed="0"/>
    <w:lsdException w:name="List Table 6 Colorful Accent 6" w:uiPriority="51" w:semiHidden="0" w:unhideWhenUsed="0"/>
    <w:lsdException w:name="List Table 7 Colorful Accent 6" w:uiPriority="52" w:semiHidden="0" w:unhideWhenUsed="0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qFormat/>
    <w:pPr>
      <w:spacing w:lineRule="auto" w:line="240" w:beforeAutospacing="1" w:afterAutospacing="1"/>
      <w:outlineLvl w:val="1"/>
    </w:pPr>
    <w:rPr>
      <w:rFonts w:ascii="Times New Roman" w:hAnsi="Times New Roman" w:eastAsia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qFormat/>
    <w:rPr/>
  </w:style>
  <w:style w:type="character" w:styleId="Emphasis">
    <w:name w:val="Emphasis"/>
    <w:qFormat/>
    <w:rPr>
      <w:i/>
      <w:iCs/>
    </w:rPr>
  </w:style>
  <w:style w:type="character" w:styleId="Style13" w:customStyle="1">
    <w:name w:val="Верхний колонтитул Знак"/>
    <w:basedOn w:val="DefaultParagraphFont"/>
    <w:qFormat/>
    <w:rPr/>
  </w:style>
  <w:style w:type="character" w:styleId="Style14" w:customStyle="1">
    <w:name w:val="Нижний колонтитул Знак"/>
    <w:basedOn w:val="DefaultParagraphFont"/>
    <w:qFormat/>
    <w:rPr/>
  </w:style>
  <w:style w:type="character" w:styleId="Style15" w:customStyle="1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Style16" w:customStyle="1">
    <w:name w:val="Текст сноски Знак"/>
    <w:qFormat/>
    <w:rPr>
      <w:sz w:val="20"/>
      <w:szCs w:val="20"/>
    </w:rPr>
  </w:style>
  <w:style w:type="character" w:styleId="user" w:customStyle="1">
    <w:name w:val="Символ сноски (user)"/>
    <w:qFormat/>
    <w:rPr>
      <w:vertAlign w:val="superscript"/>
    </w:rPr>
  </w:style>
  <w:style w:type="character" w:styleId="Style17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nsPlusNonformat" w:customStyle="1">
    <w:name w:val="ConsPlusNonformat Знак"/>
    <w:qFormat/>
    <w:rPr>
      <w:rFonts w:ascii="Courier New" w:hAnsi="Courier New" w:eastAsia="Arial" w:cs="Courier New"/>
      <w:sz w:val="16"/>
      <w:szCs w:val="16"/>
      <w:lang w:eastAsia="ar-SA"/>
    </w:rPr>
  </w:style>
  <w:style w:type="character" w:styleId="Style18" w:customStyle="1">
    <w:name w:val="Текст концевой сноски Знак"/>
    <w:qFormat/>
    <w:rPr>
      <w:lang w:eastAsia="en-US"/>
    </w:rPr>
  </w:style>
  <w:style w:type="character" w:styleId="user1" w:customStyle="1">
    <w:name w:val="Символ концевой сноски (user)"/>
    <w:qFormat/>
    <w:rPr>
      <w:vertAlign w:val="superscript"/>
    </w:rPr>
  </w:style>
  <w:style w:type="character" w:styleId="Style19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" w:customStyle="1">
    <w:name w:val="Заголовок 2 Знак"/>
    <w:qFormat/>
    <w:rPr>
      <w:rFonts w:ascii="Times New Roman" w:hAnsi="Times New Roman" w:eastAsia="Times New Roman"/>
      <w:b/>
      <w:bCs/>
      <w:sz w:val="36"/>
      <w:szCs w:val="36"/>
    </w:rPr>
  </w:style>
  <w:style w:type="character" w:styleId="Hyperlink">
    <w:name w:val="Hyperlink"/>
    <w:rPr>
      <w:color w:val="000080"/>
      <w:u w:val="single" w:color="FFFFFF"/>
    </w:rPr>
  </w:style>
  <w:style w:type="paragraph" w:styleId="Style2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BodyText">
    <w:name w:val="Body Text"/>
    <w:basedOn w:val="Normal"/>
    <w:qFormat/>
    <w:pPr>
      <w:spacing w:lineRule="auto" w:line="276" w:before="0" w:after="140"/>
    </w:pPr>
    <w:rPr/>
  </w:style>
  <w:style w:type="paragraph" w:styleId="List">
    <w:name w:val="List"/>
    <w:basedOn w:val="BodyText"/>
    <w:qFormat/>
    <w:pPr/>
    <w:rPr>
      <w:rFonts w:ascii="Times New Roman" w:hAnsi="Times New Roman"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user2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user3" w:customStyle="1">
    <w:name w:val="Указатель (user)"/>
    <w:basedOn w:val="Normal"/>
    <w:qFormat/>
    <w:pPr>
      <w:suppressLineNumbers/>
    </w:pPr>
    <w:rPr>
      <w:rFonts w:ascii="Times New Roman" w:hAnsi="Times New Roman" w:cs="Mangal"/>
    </w:rPr>
  </w:style>
  <w:style w:type="paragraph" w:styleId="IndexHeading">
    <w:name w:val="index heading"/>
    <w:basedOn w:val="Normal"/>
    <w:qFormat/>
    <w:pPr>
      <w:suppressLineNumbers/>
    </w:pPr>
    <w:rPr>
      <w:rFonts w:ascii="Times New Roman" w:hAnsi="Times New Roman" w:cs="Mangal"/>
    </w:rPr>
  </w:style>
  <w:style w:type="paragraph" w:styleId="user4" w:customStyle="1">
    <w:name w:val="Колонтитулы (user)"/>
    <w:basedOn w:val="Normal"/>
    <w:qFormat/>
    <w:pPr/>
    <w:rPr/>
  </w:style>
  <w:style w:type="paragraph" w:styleId="Style22" w:customStyle="1">
    <w:name w:val="Колонтитулы"/>
    <w:basedOn w:val="Normal"/>
    <w:qFormat/>
    <w:pPr/>
    <w:rPr/>
  </w:style>
  <w:style w:type="paragraph" w:styleId="Header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  <w:style w:type="paragraph" w:styleId="Default" w:customStyle="1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ConsPlusNonformat1" w:customStyle="1">
    <w:name w:val="ConsPlusNonforma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ourier New" w:hAnsi="Courier New" w:eastAsia="Arial" w:cs="Courier New"/>
      <w:color w:val="auto"/>
      <w:kern w:val="0"/>
      <w:sz w:val="16"/>
      <w:szCs w:val="16"/>
      <w:lang w:val="ru-RU" w:eastAsia="ar-SA" w:bidi="ar-SA"/>
    </w:rPr>
  </w:style>
  <w:style w:type="paragraph" w:styleId="EndnoteText">
    <w:name w:val="endnote text"/>
    <w:basedOn w:val="Normal"/>
    <w:qFormat/>
    <w:pPr/>
    <w:rPr>
      <w:sz w:val="20"/>
      <w:szCs w:val="20"/>
    </w:rPr>
  </w:style>
  <w:style w:type="paragraph" w:styleId="user5" w:customStyle="1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6" w:customStyle="1">
    <w:name w:val="Заголовок таблицы (user)"/>
    <w:basedOn w:val="user5"/>
    <w:qFormat/>
    <w:pPr>
      <w:jc w:val="center"/>
    </w:pPr>
    <w:rPr>
      <w:b/>
      <w:bCs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5A2EF8EACD079119ED2884DB70386C0C1A3DB003C78E17E45637886CDBVE2DH" TargetMode="External"/><Relationship Id="rId3" Type="http://schemas.openxmlformats.org/officeDocument/2006/relationships/hyperlink" Target="consultantplus://offline/ref=5A2EF8EACD079119ED2884DB70386C0C1A3DB003C78E17E45637886CDBVE2DH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notes" Target="footnotes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 pitchFamily="0" charset="1"/>
        <a:ea typeface="Times New Roman" pitchFamily="0" charset="1"/>
        <a:cs typeface="Times New Roman" pitchFamily="0" charset="1"/>
      </a:majorFont>
      <a:minorFont>
        <a:latin typeface="Calibri" pitchFamily="0" charset="1"/>
        <a:ea typeface="Calibri" pitchFamily="0" charset="1"/>
        <a:cs typeface="Times New Roman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LibreOffice/25.8.7.1$Windows_X86_64 LibreOffice_project/39c3b7ac021cfb9f4ca681457ad36828f90e2ce7</Application>
  <AppVersion>15.0000</AppVersion>
  <Pages>24</Pages>
  <Words>6044</Words>
  <Characters>41275</Characters>
  <CharactersWithSpaces>46874</CharactersWithSpaces>
  <Paragraphs>535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2026-04-04T10:08:00Z</dcterms:created>
  <dc:creator>Александр Комаров</dc:creator>
  <dc:description/>
  <dc:language>ru-RU</dc:language>
  <cp:lastModifiedBy/>
  <cp:lastPrinted>2026-04-04T10:01:00Z</cp:lastPrinted>
  <dcterms:modified xsi:type="dcterms:W3CDTF">2026-06-30T12:44:49Z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