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hanging="0" w:left="-142" w:right="0"/>
        <w:rPr/>
      </w:pPr>
      <w:r>
        <w:rPr>
          <w:rFonts w:ascii="Arial" w:hAnsi="Arial"/>
          <w:color w:val="993300"/>
          <w:sz w:val="32"/>
        </w:rPr>
        <w:t>Перечень государственных и муниципальных услуг, предоставляемых в МФЦ Ростовской области (на 15.06.2026)</w:t>
      </w:r>
    </w:p>
    <w:p>
      <w:pPr>
        <w:pStyle w:val="Normal"/>
        <w:spacing w:lineRule="auto" w:line="240"/>
        <w:rPr>
          <w:rFonts w:ascii="Arial" w:hAnsi="Arial"/>
          <w:color w:val="993300"/>
          <w:sz w:val="32"/>
        </w:rPr>
      </w:pPr>
      <w:r>
        <w:rPr>
          <w:rFonts w:ascii="Arial" w:hAnsi="Arial"/>
          <w:color w:val="993300"/>
          <w:sz w:val="32"/>
        </w:rPr>
      </w:r>
    </w:p>
    <w:tbl>
      <w:tblPr>
        <w:tblStyle w:val="Style_2"/>
        <w:tblW w:w="1060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30"/>
        <w:gridCol w:w="22"/>
        <w:gridCol w:w="83"/>
        <w:gridCol w:w="3041"/>
        <w:gridCol w:w="36"/>
        <w:gridCol w:w="100"/>
        <w:gridCol w:w="3411"/>
        <w:gridCol w:w="183"/>
      </w:tblGrid>
      <w:tr>
        <w:trPr>
          <w:tblHeader w:val="true"/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Наименование услуги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Стоимость (руб.)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Сроки оказания услуги</w:t>
            </w:r>
          </w:p>
        </w:tc>
      </w:tr>
      <w:tr>
        <w:trPr>
          <w:tblHeader w:val="true"/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rFonts w:ascii="Arial" w:hAnsi="Arial"/>
                <w:b/>
                <w:color w:val="993300"/>
              </w:rPr>
            </w:pPr>
            <w:r>
              <w:rPr>
                <w:rFonts w:ascii="Arial" w:hAnsi="Arial"/>
                <w:b/>
                <w:color w:val="993300"/>
                <w:sz w:val="20"/>
              </w:rPr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rFonts w:ascii="Arial" w:hAnsi="Arial"/>
                <w:b/>
                <w:color w:val="993300"/>
              </w:rPr>
            </w:pPr>
            <w:r>
              <w:rPr>
                <w:rFonts w:ascii="Arial" w:hAnsi="Arial"/>
                <w:b/>
                <w:color w:val="993300"/>
                <w:sz w:val="20"/>
              </w:rPr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rFonts w:ascii="Arial" w:hAnsi="Arial"/>
                <w:b/>
                <w:color w:val="993300"/>
              </w:rPr>
            </w:pPr>
            <w:r>
              <w:rPr>
                <w:rFonts w:ascii="Arial" w:hAnsi="Arial"/>
                <w:b/>
                <w:color w:val="993300"/>
                <w:sz w:val="20"/>
              </w:rPr>
            </w:r>
          </w:p>
        </w:tc>
      </w:tr>
      <w:tr>
        <w:trPr>
          <w:trHeight w:val="315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Федеральные услуги</w:t>
            </w:r>
          </w:p>
        </w:tc>
      </w:tr>
      <w:tr>
        <w:trPr>
          <w:trHeight w:val="315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МВД</w:t>
            </w:r>
          </w:p>
        </w:tc>
      </w:tr>
      <w:tr>
        <w:trPr>
          <w:trHeight w:val="1525" w:hRule="atLeast"/>
        </w:trPr>
        <w:tc>
          <w:tcPr>
            <w:tcW w:w="3752" w:type="dxa"/>
            <w:gridSpan w:val="2"/>
            <w:tcBorders/>
            <w:shd w:fill="FBE4D5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Выдача справок о наличии (отсутствии) судимости и (или) факта уголовного преследования либо о прекращении уголовного преследования</w:t>
            </w:r>
          </w:p>
        </w:tc>
        <w:tc>
          <w:tcPr>
            <w:tcW w:w="3124" w:type="dxa"/>
            <w:gridSpan w:val="2"/>
            <w:tcBorders/>
            <w:shd w:fill="FBE4D5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BE4D5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от 30 календарных дней (при необходимости получения дополнительной информации в иных органах, срок рассмотрения заявления может быть продлен не более чем на 30 дней)</w:t>
            </w:r>
          </w:p>
        </w:tc>
      </w:tr>
      <w:tr>
        <w:trPr>
          <w:trHeight w:val="2272" w:hRule="atLeast"/>
        </w:trPr>
        <w:tc>
          <w:tcPr>
            <w:tcW w:w="3752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Проведение экзаменов на право управления транспортными средствами и выдаче водительских удостоверений (в части российских национальных водительских удостоверений при замене, утрате (хищении) и международных водительских удостоверений)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пошлина: 4000 рублей за выдачу национального водительского удостоверения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пошлина: 3200 за выдачу международного водительского удостоверения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15 рабочих дней</w:t>
            </w:r>
          </w:p>
        </w:tc>
      </w:tr>
      <w:tr>
        <w:trPr>
          <w:trHeight w:val="1851" w:hRule="atLeast"/>
        </w:trPr>
        <w:tc>
          <w:tcPr>
            <w:tcW w:w="3752" w:type="dxa"/>
            <w:gridSpan w:val="2"/>
            <w:tcBorders/>
            <w:shd w:fill="FBE4D5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Выдача, замена паспортов гражданина Российской Федерации, удостоверяющих личность гражданина Российской Федерации на территории Российской Федерации</w:t>
            </w:r>
          </w:p>
        </w:tc>
        <w:tc>
          <w:tcPr>
            <w:tcW w:w="3124" w:type="dxa"/>
            <w:gridSpan w:val="2"/>
            <w:tcBorders/>
            <w:shd w:fill="FBE4D5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пошлина 300 руб.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FBE4D5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 рабочий день- передача в орган,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5 рабочих дней-срок оформления паспорта органом,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3 календарных дня – передача оформленного паспорта органом в МФЦ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Регистрационный учет граждан Российской Федерации по месту пребывания и по месту жительства в пределах Российской Федерации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8 дней со дня приема заявления и документов</w:t>
            </w:r>
          </w:p>
        </w:tc>
      </w:tr>
      <w:tr>
        <w:trPr>
          <w:trHeight w:val="821" w:hRule="atLeast"/>
        </w:trPr>
        <w:tc>
          <w:tcPr>
            <w:tcW w:w="3752" w:type="dxa"/>
            <w:gridSpan w:val="2"/>
            <w:tcBorders/>
            <w:shd w:fill="FBE4D5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Осуществление миграционного учета в Российской Федерации</w:t>
            </w:r>
          </w:p>
        </w:tc>
        <w:tc>
          <w:tcPr>
            <w:tcW w:w="3124" w:type="dxa"/>
            <w:gridSpan w:val="2"/>
            <w:tcBorders/>
            <w:shd w:fill="FBE4D5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в части приема уведомления о прибытии иностранного гражданина или лица без гражданства в место пребывания и проставления отметки о приеме уведомления - государственная пошлина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500 рублей.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за регистрацию иностранного гражданина или лица без гражданства по месту жительства в Российской Федерации – государственная пошлина 1000 рублей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FBE4D5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день обращения передача документов в орган – 1 рабочий день.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Оформление и выдача паспортов гражданина Российской Федерации, удостоверяющих личность гражданина Российской Федерации за пределами территории Российской Федерации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пошлина</w:t>
              <w:br/>
              <w:t>паспорт старого образца – 2000 руб. (граждане до 14 лет – 1000 руб.)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 при подаче документов по месту жительства – один месяц (если отказ – 20 календарных дней);</w:t>
            </w:r>
          </w:p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при наличии документально подтвержденных обстоятельств, связанных с необходимостью экстренного лечения, тяжелой болезнью или смертью близкого родственника и требующих выезда из российской федерации, - 3 рабочих дня (если отказ – 3 рабочих дня);</w:t>
            </w:r>
          </w:p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 xml:space="preserve">3) при оформлении паспорта заявителю, имеющему (имевшему) допуск к сведениям особой важности или совершенно секретным сведениям, отнесенным к государственной тайне в соответствии с </w:t>
            </w:r>
            <w:hyperlink r:id="rId2">
              <w:r>
                <w:rPr>
                  <w:rFonts w:ascii="Arial" w:hAnsi="Arial"/>
                  <w:color w:val="623B2A"/>
                  <w:spacing w:val="0"/>
                  <w:kern w:val="0"/>
                  <w:sz w:val="21"/>
                  <w:szCs w:val="20"/>
                </w:rPr>
                <w:t>законом</w:t>
              </w:r>
            </w:hyperlink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 xml:space="preserve"> Российской Федерации от 21 июля 1993 г. № 5485-1 «О государственной тайне», - три месяца;</w:t>
            </w:r>
          </w:p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4) при подаче документов не по месту жительства – три месяца;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Оформление и выдача паспортов гражданина Российской Федерации, удостоверяющих личность гражданина Российской Федерации за пределами территории Российской Федерации, содержащих электронные носители информации</w:t>
            </w:r>
            <w:r>
              <w:rPr>
                <w:rStyle w:val="FootnoteReference"/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footnoteReference w:id="2"/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 xml:space="preserve"> </w:t>
            </w: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пошлина</w:t>
              <w:br/>
              <w:t>паспорт нового образца – 6000 руб. (граждане до 14 лет – 3000 руб.)</w:t>
              <w:br/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 при подаче документов по месту жительства – один месяц;</w:t>
            </w:r>
          </w:p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при наличии документально подтвержденных обстоятельств, связанных с необходимостью экстренного лечения, тяжелой болезнью или смертью близкого родственника и требующих выезда из российской федерации, - 3 рабочих дня;</w:t>
            </w:r>
          </w:p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 xml:space="preserve">3) при оформлении паспорта заявителю, имеющему (имевшему) допуск к сведениям особой важности или совершенно секретным сведениям, отнесенным к государственной тайне в соответствии с </w:t>
            </w:r>
            <w:hyperlink r:id="rId3">
              <w:r>
                <w:rPr>
                  <w:rFonts w:ascii="Arial" w:hAnsi="Arial"/>
                  <w:color w:val="623B2A"/>
                  <w:spacing w:val="0"/>
                  <w:kern w:val="0"/>
                  <w:sz w:val="21"/>
                  <w:szCs w:val="20"/>
                </w:rPr>
                <w:t>законом</w:t>
              </w:r>
            </w:hyperlink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 xml:space="preserve"> Российской Федерации от 21 июля 1993 г. № 5485-1 «О государственной тайне», - три месяца;</w:t>
            </w:r>
          </w:p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4) при подаче документов не по месту жительства – три месяца.</w:t>
            </w:r>
          </w:p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Предоставляется в МФЦ оснащенных криптокабиной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BE4D5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Выдача справок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</w:t>
            </w:r>
          </w:p>
        </w:tc>
        <w:tc>
          <w:tcPr>
            <w:tcW w:w="3124" w:type="dxa"/>
            <w:gridSpan w:val="2"/>
            <w:tcBorders/>
            <w:shd w:fill="FBE4D5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BE4D5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услуги с учетом доставки комплектов документов в информационный центр и доставки результатов предоставления услуги в МФЦ не должен превышать 30 календарных дней со дня приема документов от заявителя до готовности результата услуги к выдаче заявителю в МФЦ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Регистрация транспортных средств</w:t>
            </w:r>
            <w:r>
              <w:rPr>
                <w:rStyle w:val="FootnoteReference"/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footnoteReference w:id="3"/>
            </w: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от 350 до 4000 руб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момент обращения. Предоставляется только в МФЦ г. Шахты</w:t>
            </w:r>
          </w:p>
        </w:tc>
      </w:tr>
      <w:tr>
        <w:trPr>
          <w:trHeight w:val="505" w:hRule="atLeast"/>
        </w:trPr>
        <w:tc>
          <w:tcPr>
            <w:tcW w:w="10606" w:type="dxa"/>
            <w:gridSpan w:val="8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ФНС</w:t>
            </w:r>
          </w:p>
        </w:tc>
      </w:tr>
      <w:tr>
        <w:trPr>
          <w:trHeight w:val="4502" w:hRule="atLeast"/>
        </w:trPr>
        <w:tc>
          <w:tcPr>
            <w:tcW w:w="3752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Государственная регистрация юридических лиц, физических лиц в качестве индивидуальных предпринимателей и крестьянских (фермерских) хозяйств</w:t>
            </w:r>
          </w:p>
        </w:tc>
        <w:tc>
          <w:tcPr>
            <w:tcW w:w="3124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</w:tcPr>
          <w:p>
            <w:pPr>
              <w:pStyle w:val="115"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0" w:left="0" w:right="0"/>
              <w:contextualSpacing/>
              <w:jc w:val="left"/>
              <w:rPr>
                <w:spacing w:val="0"/>
                <w:kern w:val="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передача документов из МФЦ в орган - 3 рабочих дня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360" w:right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решение органа:</w:t>
            </w:r>
          </w:p>
          <w:p>
            <w:pPr>
              <w:pStyle w:val="115"/>
              <w:numPr>
                <w:ilvl w:val="0"/>
                <w:numId w:val="2"/>
              </w:numPr>
              <w:suppressAutoHyphens w:val="true"/>
              <w:spacing w:lineRule="auto" w:line="240" w:before="0" w:after="0"/>
              <w:ind w:hanging="0" w:left="251" w:right="0"/>
              <w:contextualSpacing/>
              <w:jc w:val="left"/>
              <w:rPr>
                <w:spacing w:val="0"/>
                <w:kern w:val="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регистрация юридических лиц, физических лиц в качестве индивидуальных предпринимателей и крестьянских (фермерских) хозяйств – 5 рабочих дней;</w:t>
            </w:r>
          </w:p>
          <w:p>
            <w:pPr>
              <w:pStyle w:val="115"/>
              <w:numPr>
                <w:ilvl w:val="0"/>
                <w:numId w:val="2"/>
              </w:numPr>
              <w:suppressAutoHyphens w:val="true"/>
              <w:spacing w:lineRule="auto" w:line="240" w:before="0" w:after="0"/>
              <w:ind w:hanging="0" w:left="251" w:right="0"/>
              <w:contextualSpacing/>
              <w:jc w:val="left"/>
              <w:rPr>
                <w:spacing w:val="0"/>
                <w:kern w:val="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внесение записи о начале процедуры реорганизации юридического лица (юридических лиц) – 3 рабочих дня;</w:t>
            </w:r>
          </w:p>
          <w:p>
            <w:pPr>
              <w:pStyle w:val="115"/>
              <w:numPr>
                <w:ilvl w:val="0"/>
                <w:numId w:val="2"/>
              </w:numPr>
              <w:suppressAutoHyphens w:val="true"/>
              <w:spacing w:lineRule="auto" w:line="240" w:before="0" w:after="0"/>
              <w:ind w:hanging="0" w:left="251" w:right="0"/>
              <w:contextualSpacing/>
              <w:jc w:val="left"/>
              <w:rPr>
                <w:spacing w:val="0"/>
                <w:kern w:val="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решения об отказе – 5 рабочих дней</w:t>
            </w:r>
          </w:p>
          <w:p>
            <w:pPr>
              <w:pStyle w:val="115"/>
              <w:numPr>
                <w:ilvl w:val="0"/>
                <w:numId w:val="2"/>
              </w:numPr>
              <w:suppressAutoHyphens w:val="true"/>
              <w:spacing w:lineRule="auto" w:line="240" w:before="0" w:after="0"/>
              <w:ind w:hanging="0" w:left="251" w:right="0"/>
              <w:contextualSpacing/>
              <w:jc w:val="left"/>
              <w:rPr>
                <w:spacing w:val="0"/>
                <w:kern w:val="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передача результатов из органа в МФЦ – 1 рабочий день</w:t>
            </w:r>
          </w:p>
        </w:tc>
      </w:tr>
      <w:tr>
        <w:trPr>
          <w:trHeight w:val="1751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сведений, содержащихся в реестре дисквалифицированных лиц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плата 100 руб.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в электронной форме из МФЦ в орган - 1 рабочий день;</w:t>
            </w:r>
          </w:p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срок оказания услуги – 5 дней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</w:tc>
      </w:tr>
      <w:tr>
        <w:trPr>
          <w:trHeight w:val="2069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сведений, содержащихся в Едином государственном реестре налогоплательщиков (в части предоставления по запросам физических и юридических лиц выписок из указанного реестра, за исключением сведений, содержащих налоговую тайну)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сведений – бесплатно;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запрос об идентификационном номере налогоплательщика и коде причины постановки на учет – плата 200 руб. за каждый запрос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в электронной форме из МФЦ в орган - 1 рабочий день;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срок оказания услуги – 5 дней</w:t>
            </w:r>
          </w:p>
        </w:tc>
      </w:tr>
      <w:tr>
        <w:trPr>
          <w:trHeight w:val="3392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сведений, содержащихся в Едином государственном реестре юридических лиц и Едином государственном реестре индивидуальных предпринимателей (в части предоставления по запросам физических и юридических лиц выписок из указанных реестров, за исключением выписок, содержащих сведения ограниченного доступа)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сведений – бесплатно;</w:t>
            </w:r>
          </w:p>
          <w:p>
            <w:pPr>
              <w:pStyle w:val="Normal"/>
              <w:suppressAutoHyphens w:val="true"/>
              <w:spacing w:lineRule="auto" w:line="276" w:before="0" w:after="200"/>
              <w:ind w:hanging="0" w:left="0" w:right="0"/>
              <w:jc w:val="center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в электронной форме из МФЦ в орган - 1 рабочий день;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срок оказания услуги – 5 дней</w:t>
            </w:r>
          </w:p>
        </w:tc>
      </w:tr>
      <w:tr>
        <w:trPr>
          <w:trHeight w:val="5963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Бесплатное информирование (в том числе в письменной форме) налогоплательщиков, плательщиков сборов и налоговых агентов о действующих налогах и сборах, законодательстве Российской Федерации о налогах и сборах и принятых в соответствии с ним нормативных правовых актах, порядке исчисления и уплаты налогов и сборов, правах и обязанностях налогоплательщиков, плательщиков сборов и налоговых агентов, полномочиях налоговых органов и их должностных лиц (в части приема запроса и выдачи справки об исполнении налогоплательщиком (плательщиком сборов, налоговым агентом) обязанности по уплате налогов, сборов, пеней, штрафов, процентов)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76" w:before="0" w:after="20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публичное информирование:</w:t>
            </w:r>
          </w:p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получение информации из органа – 3 рабочих дня со дня получения подписанной начальником (заместителем начальника) информации;</w:t>
            </w:r>
          </w:p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размещение информации в МФЦ - 3 рабочих дня</w:t>
            </w:r>
          </w:p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contextualSpacing/>
              <w:jc w:val="center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индивидуальное информирование:</w:t>
            </w:r>
          </w:p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в электронной форме из МФЦ в орган - 1 рабочий день;</w:t>
            </w:r>
          </w:p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срок оказания услуги – 30 календарных дней (при продлении - 60 календарных дней)</w:t>
            </w:r>
          </w:p>
        </w:tc>
      </w:tr>
      <w:tr>
        <w:trPr>
          <w:trHeight w:val="5045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Прием заявлений от физических лиц о предоставлении льготы по налогу на имущество физических лиц, земельному и транспортному налогам, уведомлений о выбранных объектах налогообложения, в отношении которых предоставляется налоговая льгота по налогу на имущество физических лиц, уведомлений о выбранном земельном участке, в отношении которого применяется налоговый вычет по земельному налогу, сообщений о наличии объектов недвижимого имущества и (или) транспортных средствах, признаваемых объектами налогообложения по соответствующим налогам, уплачиваемым физическими лицами</w:t>
            </w:r>
            <w:r>
              <w:rPr>
                <w:rStyle w:val="FootnoteReference"/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footnoteReference w:id="4"/>
            </w: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3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76" w:before="0" w:after="20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день обращения</w:t>
            </w:r>
          </w:p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только в МФЦ Мясниковского района РО</w:t>
            </w:r>
          </w:p>
        </w:tc>
      </w:tr>
      <w:tr>
        <w:trPr>
          <w:trHeight w:val="1008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Прием заявления о гибели или уничтожении объекта налогообложения по налогу на имущество физических лиц</w:t>
            </w:r>
            <w:r>
              <w:rPr>
                <w:rStyle w:val="FootnoteReference"/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footnoteReference w:id="5"/>
            </w: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4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76" w:before="0" w:after="20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день обращения</w:t>
            </w:r>
          </w:p>
          <w:p>
            <w:pPr>
              <w:pStyle w:val="Normal"/>
              <w:suppressAutoHyphens w:val="true"/>
              <w:spacing w:lineRule="auto" w:line="276" w:before="0" w:after="20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только в МФЦ Мясниковского района РО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Прием заявлений от физических лиц о налоговом уведомлении на базе сети МФЦ Ростовской области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76" w:before="0" w:after="20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76" w:before="0" w:after="20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379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ФССП</w:t>
            </w:r>
          </w:p>
        </w:tc>
      </w:tr>
      <w:tr>
        <w:trPr>
          <w:trHeight w:val="1128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информации по находящимся на исполнении исполнительным производствам в отношении физического и юридического лица.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449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Росреестр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Государственная услуга по государственному кадастровому учету недвижимого имущества и (или) государственной регистрации прав на недвижимое имущество и сделок с ним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tabs>
                <w:tab w:val="clear" w:pos="708"/>
                <w:tab w:val="left" w:pos="250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пошлина от 200 до 66 000 рублей</w:t>
            </w:r>
          </w:p>
          <w:p>
            <w:pPr>
              <w:pStyle w:val="Normal"/>
              <w:tabs>
                <w:tab w:val="clear" w:pos="708"/>
                <w:tab w:val="left" w:pos="250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tabs>
                <w:tab w:val="clear" w:pos="708"/>
                <w:tab w:val="left" w:pos="250" w:leader="none"/>
              </w:tabs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numPr>
                <w:ilvl w:val="0"/>
                <w:numId w:val="3"/>
              </w:numPr>
              <w:tabs>
                <w:tab w:val="clear" w:pos="708"/>
                <w:tab w:val="left" w:pos="250" w:leader="none"/>
              </w:tabs>
              <w:suppressAutoHyphens w:val="true"/>
              <w:spacing w:lineRule="auto" w:line="240" w:before="0" w:after="0"/>
              <w:ind w:hanging="1" w:left="1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государственная регистрация прав – 9 рабочих дней</w:t>
            </w:r>
          </w:p>
          <w:p>
            <w:pPr>
              <w:pStyle w:val="Normal"/>
              <w:numPr>
                <w:ilvl w:val="0"/>
                <w:numId w:val="3"/>
              </w:numPr>
              <w:tabs>
                <w:tab w:val="clear" w:pos="708"/>
                <w:tab w:val="left" w:pos="265" w:leader="none"/>
              </w:tabs>
              <w:suppressAutoHyphens w:val="true"/>
              <w:spacing w:lineRule="auto" w:line="240" w:before="0" w:after="0"/>
              <w:ind w:hanging="1" w:left="1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государственный кадастровый учет– 7 рабочих дней</w:t>
            </w:r>
          </w:p>
          <w:p>
            <w:pPr>
              <w:pStyle w:val="Normal"/>
              <w:numPr>
                <w:ilvl w:val="0"/>
                <w:numId w:val="3"/>
              </w:numPr>
              <w:tabs>
                <w:tab w:val="clear" w:pos="708"/>
                <w:tab w:val="left" w:pos="265" w:leader="none"/>
              </w:tabs>
              <w:suppressAutoHyphens w:val="true"/>
              <w:spacing w:lineRule="auto" w:line="240" w:before="0" w:after="0"/>
              <w:ind w:hanging="1" w:left="1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государственный кадастровый учета и государственная регистрация прав – 12 рабочих дней</w:t>
            </w:r>
          </w:p>
          <w:p>
            <w:pPr>
              <w:pStyle w:val="Normal"/>
              <w:numPr>
                <w:ilvl w:val="0"/>
                <w:numId w:val="3"/>
              </w:numPr>
              <w:tabs>
                <w:tab w:val="clear" w:pos="708"/>
                <w:tab w:val="left" w:pos="310" w:leader="none"/>
              </w:tabs>
              <w:suppressAutoHyphens w:val="true"/>
              <w:spacing w:lineRule="auto" w:line="240" w:before="0" w:after="0"/>
              <w:ind w:hanging="1" w:left="1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государственная регистрация ипотеки жилых помещений – 7 рабочих дней</w:t>
            </w:r>
          </w:p>
          <w:p>
            <w:pPr>
              <w:pStyle w:val="Normal"/>
              <w:numPr>
                <w:ilvl w:val="0"/>
                <w:numId w:val="3"/>
              </w:numPr>
              <w:tabs>
                <w:tab w:val="clear" w:pos="708"/>
                <w:tab w:val="left" w:pos="280" w:leader="none"/>
              </w:tabs>
              <w:suppressAutoHyphens w:val="true"/>
              <w:spacing w:lineRule="auto" w:line="240" w:before="0" w:after="0"/>
              <w:ind w:hanging="1" w:left="1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государственная регистрация прав на основании нотариально удостоверенных документов – 5 рабочих дней</w:t>
            </w:r>
          </w:p>
        </w:tc>
      </w:tr>
      <w:tr>
        <w:trPr>
          <w:trHeight w:val="1360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Государственная услуга по предоставлению сведений, содержащихся в Едином государственном реестре недвижимости.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размер платы от 340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до 10 000 рублей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3 рабочих дней с момента получения сведений, подтверждающих оплату</w:t>
            </w:r>
          </w:p>
        </w:tc>
      </w:tr>
      <w:tr>
        <w:trPr>
          <w:trHeight w:val="2032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Государственная услуга по приему заявлений о предоставлении земельных участков на Дальнем Востоке Российской Федерации в соответствии с Федеральным законом № 119-ФЗ от 01.05.2016 года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447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Росимущество</w:t>
            </w:r>
          </w:p>
        </w:tc>
      </w:tr>
      <w:tr>
        <w:trPr>
          <w:trHeight w:val="1971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в собственность, аренду, постоянное (бессрочное) пользование, безвозмездное пользование земельных участков, находящихся в федеральной собственности, без проведения торгов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передача документов из МФЦ в орган - в день обращения</w:t>
            </w:r>
          </w:p>
        </w:tc>
      </w:tr>
      <w:tr>
        <w:trPr>
          <w:trHeight w:val="1137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Осуществление в установленном порядке выдачи выписок из реестра федерального имущества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400 рублей за каждый объект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5 рабочих дней со дня поступления запроса в орган</w:t>
            </w:r>
          </w:p>
        </w:tc>
      </w:tr>
      <w:tr>
        <w:trPr>
          <w:trHeight w:val="437" w:hRule="atLeast"/>
        </w:trPr>
        <w:tc>
          <w:tcPr>
            <w:tcW w:w="10606" w:type="dxa"/>
            <w:gridSpan w:val="8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Фонд пенсионного и социального страхования Российской Федерации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Выдача государственного сертификата на материнский (семейный) капитал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Решение выносится в срок, не превышающий 5 рабочих дней с даты приема заявления о выдаче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сертификата. Срок принятия решения приостанавливается в случае не поступления в установленный законодательством срок запрашиваемых территориальным органом СФР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сведений. В этом случае решение выносится в срок, не превышающий 15 рабочих дней с даты приема заявления о выдаче сертификата.</w:t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передача документа из органа в МФЦ – 5 рабочих дней</w:t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3) уведомление заявителя о поступлении документа из органа - 1 рабочий день</w:t>
            </w:r>
          </w:p>
        </w:tc>
      </w:tr>
      <w:tr>
        <w:trPr>
          <w:trHeight w:val="1927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Рассмотрение заявления о распоряжении средствами (частью средств) материнского (семейного) капитала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Решение выносится в срок, не превышающий 5 рабочих дней с даты приема заявления о распоряжения. Срок принятия решения приостанавливается в случае не поступления в установленный законодательством срок запрашиваемых территориальным органом СФР сведений. В этом случае решение выносится в срок, не превышающий 12 рабочих дней с даты приема заявления о распоряжении.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передача документа из органа в МФЦ – 2 рабочих дней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3) уведомление заявителя о поступлении документа из органа - 3 рабочих дня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Установление ежемесячной денежной выплаты отдельным категориям граждан в Российской Федерации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Решение о назначении (отказе) выносится в срок не позднее 10 рабочих дней со дня приема заявления со всеми необходимыми документами и (или) поступления документов (сведений) в порядке межведомственного взаимодействия</w:t>
            </w:r>
            <w:r>
              <w:rPr>
                <w:rFonts w:ascii="TimesNewRomanPSMT" w:hAnsi="TimesNewRomanPSMT"/>
                <w:spacing w:val="0"/>
                <w:kern w:val="0"/>
                <w:sz w:val="18"/>
                <w:szCs w:val="20"/>
              </w:rPr>
              <w:t>.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передача документов из МФЦ в орган – 2 рабочих дня (но не позднее 1 октября текущего года)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3) принятие решения органом – 5 рабочих дней</w:t>
            </w:r>
          </w:p>
        </w:tc>
      </w:tr>
      <w:tr>
        <w:trPr>
          <w:trHeight w:val="2018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Прием, рассмотрение заявлений (уведомления) застрахованных лиц в целях реализации ими прав при формировании и инвестировании средств пенсионных накоплений и принятие решений по ним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предоставления государственной услуги исчисляется с даты регистрации заявления (уведомления).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Заявление о выборе УК рассматривается с принятием решения об удовлетворении (с внесением изменений в специальную часть индивидуального лицевого счета застрахованного лица) или отказе в удовлетворении заявления либо оставлении его без рассмотрения в срок до 1 марта года, следующего за годом подачи застрахованным лицом заявления о выборе УК.</w:t>
            </w:r>
          </w:p>
          <w:p>
            <w:pPr>
              <w:pStyle w:val="Normal"/>
              <w:widowControl/>
              <w:suppressAutoHyphens w:val="true"/>
              <w:spacing w:lineRule="auto" w:line="252"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передача документов из МФЦ в орган – 1 рабочий день.</w:t>
            </w:r>
          </w:p>
        </w:tc>
      </w:tr>
      <w:tr>
        <w:trPr>
          <w:trHeight w:val="2038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Прием от граждан анкет в целях регистрации в системе индивидуального (персонифицированного) учета, в том числе прием от зарегистрированных лиц заявлений об изменении анкетных данных, содержащихся в индивидуальном лицевом счете, или о выдаче документа, подтверждающего регистрацию в системе индивидуального (персонифицированного) учета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передача документов из органа - в момент получения ответа от соответствующего вида сведений. максимальный срок – 5 рабочих дней</w:t>
            </w:r>
          </w:p>
        </w:tc>
      </w:tr>
      <w:tr>
        <w:trPr>
          <w:trHeight w:val="501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Выдача гражданам справок о размере пенсий (иных выплат)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Предоставление государственной услуги, включая выдачу документа,  подтверждающего регистрацию в системе индивидуального (персонифицированного) учета, осуществляется в срок, не превышающий 5 рабочих дней со дня получения территориальным органом СФР анкеты в целях регистрации в системе индивидуального (персонифицированного) учета либо заявления об изменении анкетных данных зарегистрированного лица, содержащихся в индивидуальном лицевом счете, или о выдаче документа, подтверждающего регистрацию в системе индивидуального (персонифицированного) учета.</w:t>
            </w:r>
          </w:p>
        </w:tc>
      </w:tr>
      <w:tr>
        <w:trPr>
          <w:trHeight w:val="651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Информирование застрахованных лиц о состоянии их индивидуальных лицевых счетов в системе обязательного пенсионного страхования согласно федеральным законам «Об индивидуальном (персонифицированном) учете в системе обязательного пенсионного страхования» и «Об инвестировании средств для финансирования накопительной пенсии в Российской Федерации»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передача документов из органа - в момент получения ответа от соответствующего вида сведений. максимальный срок – 5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Установление страховых пенсий, накопительной пенсии и пенсий по государственному пенсионному обеспечению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contextualSpacing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из МФЦ в территориальный орган – 1 рабочий день;</w:t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передача уведомления из органа в МФЦ о принятии заявления– 1 рабочий день</w:t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3) СФР принимает решение не позднее чем через 3 месяца со дня получения заявления из МФЦ</w:t>
            </w:r>
          </w:p>
        </w:tc>
      </w:tr>
      <w:tr>
        <w:trPr>
          <w:trHeight w:val="2154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Выплата страховых пенсий, накопительной пенсии и пенсий по государственному пенсионному обеспечению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contextualSpacing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 передача документов из МФЦ в орган – 1 рабочий день</w:t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 предельный срок оказания услуги по выплате не более 3 месяцев;</w:t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3) выплата пенсии производится с 1-го числа месяца, следующего за месяцем получения органом заявления о перечислении пенсии, но не ранее даты, указанной в заявлении</w:t>
            </w:r>
          </w:p>
        </w:tc>
      </w:tr>
      <w:tr>
        <w:trPr>
          <w:trHeight w:val="2932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Прием заявлений о предоставлении услуги по санаторно-курортному лечению, медицинской реабилитации в центрах реабилитации Фонда пенсионного и социального страхования Российской Федерации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 Решение о направлении на санаторно-курортное лечение, медицинскую реабилитацию в реабилитационный центр Фонда в течение 2-х рабочих дней со дня поступления заявления и медицинских документов, подтверждающих наличие у участника специальной военной операции медицинских показаний и отсутствие медицинских противопоказаний для получения санаторно-курортного лечения, медицинской реабилитации.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Уведомление о принятом решении осуществляется не позднее рабочего дня, следующего за днем принятия соответствующего решения, посредством единого портала - в личном кабинете на едином портале, при подаче заявления на бумажном носителе - на адрес электронной почты или иным способом, указанным в заявлении.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</w:t>
            </w:r>
            <w:r>
              <w:rPr>
                <w:spacing w:val="0"/>
                <w:kern w:val="0"/>
                <w:sz w:val="20"/>
                <w:szCs w:val="20"/>
              </w:rPr>
              <w:t> </w:t>
            </w: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передача документов из МФЦ в Орган – 1 рабочий день</w:t>
            </w:r>
          </w:p>
        </w:tc>
      </w:tr>
      <w:tr>
        <w:trPr>
          <w:trHeight w:val="884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Информирование граждан об отнесении к категории граждан предпенсионного возраста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максимальный срок – 5 рабочих дней со дней регистрации в органе</w:t>
            </w:r>
          </w:p>
        </w:tc>
      </w:tr>
      <w:tr>
        <w:trPr>
          <w:trHeight w:val="2932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Прием заявления для размещения сведений о транспортном средстве, управляемом инвалидом, или транспортном средстве, перевозящем инвалида и (или) ребенка-инвалида, в государственной информационной системе «Единая централизованная цифровая платформа в социальной сфере»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максимальный срок предоставления Услуги составляет 15 минут с момента регистрации заявления и документов и (или) информации, необходимых для предоставления Услуги</w:t>
            </w:r>
          </w:p>
        </w:tc>
      </w:tr>
      <w:tr>
        <w:trPr>
          <w:trHeight w:val="387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сведений о трудовой деятельности зарегистрированного лица, содержащихся в его индивидуальном лицевом счете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максимальный срок – 5 рабочих дней со дней регистрации в органе.</w:t>
            </w:r>
          </w:p>
        </w:tc>
      </w:tr>
      <w:tr>
        <w:trPr>
          <w:trHeight w:val="387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пособия по беременности и родам женщинам, уволенным в период беременности, отпуска по беременности и родам, и лицам, уволенным в период отпуска по уходу за ребенком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адвоката, а также в связи с прекращением деятельности иными физическими лицами, чья профессиональная деятельность в соответствии с федеральными законами подлежит государственной регистрации и (или) лицензированию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widowControl/>
              <w:suppressAutoHyphens w:val="true"/>
              <w:spacing w:lineRule="auto" w:line="252"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 пособие назначается не позднее 10 рабочих дней с даты приема (регистрации) заявления. В случае непоступления документов (сведений), запрашиваемых в рамках межведомственного электронного взаимодействия, срок назначения пособия продлевается на 20 рабочих дней.</w:t>
            </w:r>
          </w:p>
        </w:tc>
      </w:tr>
      <w:tr>
        <w:trPr>
          <w:trHeight w:val="387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единовременного пособия при рождении ребенка женщинам, уволенным в период беременности, отпуска по беременности и родам, и лицам, уволенным в период отпуска по уходу за ребенком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адвоката, а также в связи с прекращением деятельности иными физическими лицами, чья профессиональная деятельность в соответствии с федеральными законами подлежит государственной регистрации и (или) лицензированию, а также лицам, не подлежащим обязательному социальному страхованию на случай временной нетрудоспособности и в связи с материнством, в том числе обучающимся по очной форме обучения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пособие назначается не позднее 10 рабочих дней с даты приема (регистрации) заявления. В случае не поступления документов (сведений), запрашиваемых в рамках межведомственного электронного взаимодействия, срок назначения пособия продлевается на 20 рабочих дней.</w:t>
            </w:r>
          </w:p>
        </w:tc>
      </w:tr>
      <w:tr>
        <w:trPr>
          <w:trHeight w:val="387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единовременного пособия при передаче ребенка на воспитание в семью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52"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 пособия назначаются не позднее 10 рабочих дней с даты приема (регистрации) заявления. В случае непоступления документов (сведений), запрашиваемых в рамках межведомственного электронного взаимодействия, срок назначения пособия продлевается на 20 рабочих дней.</w:t>
            </w:r>
          </w:p>
        </w:tc>
      </w:tr>
      <w:tr>
        <w:trPr>
          <w:trHeight w:val="387" w:hRule="atLeast"/>
        </w:trPr>
        <w:tc>
          <w:tcPr>
            <w:tcW w:w="3752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единовременного пособия беременной жене военнослужащего, проходящего военную службу по призыву</w:t>
            </w:r>
          </w:p>
        </w:tc>
        <w:tc>
          <w:tcPr>
            <w:tcW w:w="3124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из МФЦ в Орган – 1 рабочий день</w:t>
            </w:r>
          </w:p>
          <w:p>
            <w:pPr>
              <w:pStyle w:val="Normal"/>
              <w:widowControl/>
              <w:suppressAutoHyphens w:val="true"/>
              <w:spacing w:lineRule="auto" w:line="252"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 пособия назначаются не позднее 10 рабочих дней с даты приема (регистрации) заявления. В случае непоступления документов (сведений), запрашиваемых в рамках межведомственного электронного взаимодействия, срок назначения пособия продлевается на 20 рабочих дней.</w:t>
            </w:r>
          </w:p>
        </w:tc>
      </w:tr>
      <w:tr>
        <w:trPr>
          <w:trHeight w:val="387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ежемесячного пособия на ребенка военнослужащего, проходящего военную службу по призыву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из МФЦ в Орган – 1 рабочий день</w:t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 пособия назначаются не позднее 10 рабочих дней с даты приема (регистрации) заявления. В случае непоступления документов (сведений), запрашиваемых в рамках межведомственного электронного взаимодействия, срок назначения пособия продлевается на 20 рабочих дней.</w:t>
            </w:r>
          </w:p>
        </w:tc>
      </w:tr>
      <w:tr>
        <w:trPr>
          <w:trHeight w:val="1870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Прием заявления о назначении мер социальной поддержки, установленных законодательством Российской Федерации, гражданам из числа военнослужащих и членов их семей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из МФЦ в Орган – 1 рабочий день</w:t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 решение о назначении (отказе) принимается в течение 5 рабочих дней со дня поступления в территориальный орган СФР документов (сведений), предусмотренных перечнем. При этом срок ожидания ответа на межведомственный запрос не может превышать 5 рабочих дней.</w:t>
            </w:r>
          </w:p>
        </w:tc>
      </w:tr>
      <w:tr>
        <w:trPr>
          <w:trHeight w:val="387" w:hRule="atLeast"/>
        </w:trPr>
        <w:tc>
          <w:tcPr>
            <w:tcW w:w="3752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Прием заявлений о назначении</w:t>
            </w: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  <w:highlight w:val="white"/>
              </w:rPr>
              <w:t xml:space="preserve"> мер социальной поддержки,</w:t>
            </w: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 xml:space="preserve"> установленных законодательством Российской Федерации, подвергшимся воздействию радиации вследствие техногенных катастроф, и членам их семей</w:t>
            </w:r>
          </w:p>
        </w:tc>
        <w:tc>
          <w:tcPr>
            <w:tcW w:w="3124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из МФЦ в Орган – 1 рабочий день</w:t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 решение о предоставлении (отказе) компенсации принимается территориальным органом СФР не позднее 2-го рабочего дня со дня поступления в территориальный орган СФР документов (сведений). При этом, срок ожидания ответа на межведомственный запрос не может превышать 5 рабочих дней</w:t>
            </w:r>
          </w:p>
        </w:tc>
      </w:tr>
      <w:tr>
        <w:trPr>
          <w:trHeight w:val="194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Прием заявлений о назначении мер социальной поддержки, установленных законодательством Российской Федерации, инвалидам (в том числе детям-инвалидам), имеющим транспортные средства в соответствии с медицинскими показаниями, или их законным представителям, компенсации в размере 50 процентов от уплаченной ими страховой премии по договору обязательного страхования гражданской ответственности владельцев транспортных средств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максимальный срок – 5 рабочих дней со дней регистрации в органе.</w:t>
            </w:r>
          </w:p>
        </w:tc>
      </w:tr>
      <w:tr>
        <w:trPr>
          <w:trHeight w:val="194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ежемесячного пособия в связи с рождением и воспитанием ребенка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из МФЦ в Орган – 1 рабочий день</w:t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 решение принимается в течение 10 рабочих дней со дня регистрации заявления. Срок принятия решения продлевается на 20 рабочих дней в случае не поступления документов (сведений), представленных позднее 5 рабочих дней со дня регистрации заявления о назначении ежемесячного пособия.</w:t>
            </w:r>
          </w:p>
        </w:tc>
      </w:tr>
      <w:tr>
        <w:trPr>
          <w:trHeight w:val="2210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ежемесячного пособия по уходу за ребенком женщинам, уволенным в период беременности, отпуска по беременности и родам, и лицам, уволенным в период отпуска по уходу за ребенком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адвоката, а  также в связи с прекращением деятельности иными физическими лицами, чья профессиональная деятельность в соответствии с федеральными законами подлежит государственной регистрации и (или) лицензированию, а также лицам, не подлежащим обязательному социальному страхованию на случай временной нетрудоспособности и в связи с материнством, в том числе обучающимся по очной форме обучения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contextualSpacing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из МФЦ в орган – в день обращения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пособие назначается не позднее 10 рабочих дней с даты приема (регистрации) заявления. В случае не поступления документов (сведений), запрашиваемых в рамках межведомственного электронного взаимодействия, срок назначения пособия продлевается на 20 рабочих дней.</w:t>
            </w:r>
          </w:p>
        </w:tc>
      </w:tr>
      <w:tr>
        <w:trPr>
          <w:trHeight w:val="2653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Регистрация и снятие с регистрационного учета лиц, добровольно вступивших в правоотношения по обязательному социальному страхованию на случай временной нетрудоспособности и в связи с материнством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из МФЦ в Орган – 1 рабочий день</w:t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 В срок, не превышающий трех рабочих дней со дня получения территориальным органом Фонда по месту жительства последнего документа (сведений), необходимого для регистрации (снятия с регистрационного учета) в качестве страхователя.</w:t>
            </w:r>
          </w:p>
        </w:tc>
      </w:tr>
      <w:tr>
        <w:trPr>
          <w:trHeight w:val="2711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Прием документов, служащих основанием для исчисления и уплаты (перечисления) страховых взносов, а также документов, подтверждающих правильность исчисления и своевременность уплаты (перечисления) страховых взносов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передача документов из МФЦ в Орган – 1 рабочий день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Прием поступивших в территориальный орган Фонда документов, осуществляется в срок не позднее одного рабочего дня, следующего за днем поступления в территориальный орган Фонда.</w:t>
            </w:r>
          </w:p>
        </w:tc>
      </w:tr>
      <w:tr>
        <w:trPr>
          <w:trHeight w:val="1270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Обеспечение инвалидов техническими средствами реабилитации и (или) услугами и отдельных категорий граждан из числа ветеранов протезами (кроме зубных протезов), протезно-ортопедическими изделиями, а также по выплате компенсации за самостоятельно приобретенные инвалидами технические средства реабилитации (ветеранами протезы (кроме зубных протезов), протезно-ортопедические изделия) и (или) оплаченные услуги и ежегодной денежной компенсации расходов инвалидов на содержание и ветеринарное обслуживание собак-проводников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 передача документов из МФЦ в Орган – 1 рабочий день</w:t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 Уполномоченный орган рассматривает заявление, в 15-дневный срок, а в случае подачи указанного заявления инвалидом, нуждающимся в оказании паллиативной медицинской помощи (лицом, представляющим его интересы), в 7-дневный срок с даты его поступления. При наличии действующего государственного контракта на обеспечение техническим средством (изделием) в соответствии с заявлением, одновременно с уведомлением уполномоченный орган высылает инвалиду (ветерану) направление на поучение либо изготовление технического средства (изделия). При отсутствии действующего контракта не позднее 30 календарных дней со дня подачи инвалидом заявления размещается извещение, о проведении закупки соответствующего технического средства (изделия), в единой информационной системе в сфере закупок. В 7-дневный срок с даты заключения такого государственного контракта и после подтверждения уполномоченным органом соответствия технического средства (изделия) условиям такого государственного контракта оформляется направление на обеспечение техническим средством реабилитации.</w:t>
            </w:r>
          </w:p>
        </w:tc>
      </w:tr>
      <w:tr>
        <w:trPr>
          <w:trHeight w:val="1270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Прием заявлений по регистрации и снятию с регистрационного учета страхователей - физических лиц, заключивших трудовой договор с работником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из МФЦ в Орган – 1 рабочий день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 в срок, не превышающий трех рабочих дней со дня получения территориальным органом СФР по месту жительства последнего документа (сведений), необходимого для регистрации (снятии с регистрационного учета) в качестве страхователя.</w:t>
            </w:r>
          </w:p>
        </w:tc>
      </w:tr>
      <w:tr>
        <w:trPr>
          <w:trHeight w:val="1270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Прием заявлений по регистрации и снятию с регистрационного учета страхователей - физических лиц, обязанных уплачивать страховые взносы в связи с заключением гражданско-правового договора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передача документов из МФЦ в Орган – 1 рабочий день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 в срок, не превышающий трех рабочих дней со дня получения территориальным органом СФР по месту жительства последнего документа (сведений), необходимого для регистрации (снятии с регистрационного учета) в качестве страхователя.</w:t>
            </w:r>
          </w:p>
        </w:tc>
      </w:tr>
      <w:tr>
        <w:trPr>
          <w:trHeight w:val="1837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Прием заявлений о назначении ежемесячных выплат трудоспособным лицам, осуществляющим уход за детьми-инвалидами в возрасте до 18 лет или инвалидами с детства 1 группы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 передача документов из МФЦ в Орган – 1 рабочий день</w:t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</w:t>
            </w:r>
            <w:r>
              <w:rPr>
                <w:spacing w:val="0"/>
                <w:kern w:val="0"/>
                <w:sz w:val="20"/>
                <w:szCs w:val="20"/>
              </w:rPr>
              <w:t> </w:t>
            </w: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рассмотрения заявления органом в течение 10 рабочих дней</w:t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</w:tc>
      </w:tr>
      <w:tr>
        <w:trPr>
          <w:trHeight w:val="1837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rFonts w:ascii="Arial" w:hAnsi="Arial"/>
                <w:color w:val="623B2A"/>
                <w:spacing w:val="0"/>
                <w:kern w:val="0"/>
                <w:sz w:val="21"/>
                <w:szCs w:val="21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1"/>
              </w:rPr>
              <w:t>Прием заявлений о назначении ежегодной семейной выплаты гражданам Российской Федерации, имеющим 2 и более детей.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 передача документов из МФЦ в Орган – 1 рабочий день</w:t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</w:t>
            </w:r>
            <w:r>
              <w:rPr>
                <w:spacing w:val="0"/>
                <w:kern w:val="0"/>
                <w:sz w:val="20"/>
                <w:szCs w:val="20"/>
              </w:rPr>
              <w:t> </w:t>
            </w: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рассмотрения заявления органом в течение 10 рабочих дней</w:t>
            </w:r>
          </w:p>
        </w:tc>
      </w:tr>
      <w:tr>
        <w:trPr>
          <w:trHeight w:val="132" w:hRule="atLeast"/>
        </w:trPr>
        <w:tc>
          <w:tcPr>
            <w:tcW w:w="10606" w:type="dxa"/>
            <w:gridSpan w:val="8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Главное управление Министерства юстиции Российской Федерации по Ростовской области</w:t>
            </w:r>
          </w:p>
        </w:tc>
      </w:tr>
      <w:tr>
        <w:trPr>
          <w:trHeight w:val="463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160"/>
              <w:ind w:hanging="0" w:left="0" w:right="0"/>
              <w:jc w:val="left"/>
              <w:rPr>
                <w:rFonts w:ascii="Arial" w:hAnsi="Arial"/>
                <w:color w:val="623B2A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Государственная услуга по проставлению апостиля на российских официальных документах, подлежащих вывозу за пределы территории Российской Федерации</w:t>
            </w:r>
            <w:r>
              <w:rPr>
                <w:rStyle w:val="FootnoteReference"/>
                <w:rFonts w:ascii="Arial" w:hAnsi="Arial"/>
                <w:color w:val="993300"/>
                <w:spacing w:val="0"/>
                <w:kern w:val="0"/>
                <w:sz w:val="21"/>
                <w:szCs w:val="20"/>
              </w:rPr>
              <w:footnoteReference w:id="6"/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contextualSpacing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0"/>
                <w:szCs w:val="20"/>
              </w:rPr>
              <w:t>пошлина, 2500 руб. за один документ</w:t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contextualSpacing/>
              <w:jc w:val="center"/>
              <w:rPr>
                <w:rFonts w:ascii="Arial" w:hAnsi="Arial"/>
                <w:b/>
                <w:color w:val="993300"/>
              </w:rPr>
            </w:pPr>
            <w:r>
              <w:rPr>
                <w:rFonts w:ascii="Arial" w:hAnsi="Arial"/>
                <w:b/>
                <w:color w:val="993300"/>
                <w:sz w:val="20"/>
              </w:rPr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contextualSpacing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1) принятие решения органом – 3 рабочих дня</w:t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contextualSpacing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2) передача документа из органа в МФЦ – 3 календарных дня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3) передача документа из МФЦ в орган – 3 календарных дня</w:t>
            </w:r>
          </w:p>
        </w:tc>
      </w:tr>
      <w:tr>
        <w:trPr>
          <w:trHeight w:val="463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Минцифры России</w:t>
            </w:r>
          </w:p>
        </w:tc>
      </w:tr>
      <w:tr>
        <w:trPr>
          <w:trHeight w:val="463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Подача заявления на оформление персонифицированной карты для посещения спортивного соревнования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463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Установление запрета (снятие запрета) на заключение договоров об оказании услуг подвижной радиотелефонной связи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315" w:hRule="atLeast"/>
        </w:trPr>
        <w:tc>
          <w:tcPr>
            <w:tcW w:w="10606" w:type="dxa"/>
            <w:gridSpan w:val="8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Региональные услуги</w:t>
            </w:r>
          </w:p>
        </w:tc>
      </w:tr>
      <w:tr>
        <w:trPr>
          <w:trHeight w:val="287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rFonts w:ascii="Arial" w:hAnsi="Arial"/>
                <w:b/>
                <w:color w:val="993300"/>
              </w:rPr>
            </w:pPr>
            <w:r>
              <w:rPr>
                <w:rFonts w:ascii="Arial" w:hAnsi="Arial"/>
                <w:b/>
                <w:color w:val="993300"/>
                <w:sz w:val="20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Перечень государственных услуг в сфере социальной поддержки населения</w:t>
            </w:r>
          </w:p>
        </w:tc>
      </w:tr>
      <w:tr>
        <w:trPr>
          <w:trHeight w:val="1304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Прием заявлений и организация предоставления гражданам субсидий на оплату жилых помещений и коммунальных услуг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9" w:right="57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10 рабочих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-59" w:right="57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 xml:space="preserve"> </w:t>
            </w: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Компенсация расходов по оплате жилого помещения в том числе взноса на капитальный ремонт общего имущества в многоквартирном доме, и коммунальных услуг льготным категориям граждан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10 рабочих дней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</w:tc>
      </w:tr>
      <w:tr>
        <w:trPr>
          <w:trHeight w:val="2494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Социальная поддержка семей, имеющих детей (в том числе многодетных семей, одиноких родителей) (назначение и выплата пособия на ребенка)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10 рабочих дней со дня регистрации заявления со всеми необходимыми документами.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 необходимости дополнительной проверки сведений, представленных заявителем, решение о назначении и выплате пособия на ребенка либо об отказе в его назначении должно быть принято ОСЗН не позднее 30 дней со дня подачи заявления</w:t>
            </w:r>
          </w:p>
        </w:tc>
      </w:tr>
      <w:tr>
        <w:trPr>
          <w:trHeight w:val="2778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Принятие решения о предоставлении услуг по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сурдопереводу инвалидам по слуху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20 рабочих дней со дня регистрации заявления со всеми необходимыми документами</w:t>
            </w:r>
          </w:p>
        </w:tc>
      </w:tr>
      <w:tr>
        <w:trPr>
          <w:trHeight w:val="2778" w:hRule="atLeast"/>
        </w:trPr>
        <w:tc>
          <w:tcPr>
            <w:tcW w:w="3752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Принятие решения об обеспечении техническими и тифлотехническими средствами реабилитации инвалидов с заболеванием опорно-двигательного аппарата,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инвалидов по зрению, инвалидов по слуху</w:t>
            </w:r>
          </w:p>
        </w:tc>
        <w:tc>
          <w:tcPr>
            <w:tcW w:w="3124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20 рабочих 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ежемесячных денежных выплат малоимущим семьям, имеющим детей первого-второго года жизни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ежемесячных денежных выплат на детей из многодетных семей</w:t>
            </w:r>
          </w:p>
        </w:tc>
        <w:tc>
          <w:tcPr>
            <w:tcW w:w="3124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1389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Оказание государственной социальной помощи отдельным категориям граждан (предоставление государственной социальной помощи в виде социального пособия)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10 рабочих дней со дня регистрации заявления со всеми необходимыми документами. При необходимости дополнительной проверки решение о назначении должно быть принято ОСЗН не позднее 30 дней со дня подачи заявления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Выдача справок студентам для получения государственной социальной стипендии</w:t>
            </w:r>
          </w:p>
        </w:tc>
        <w:tc>
          <w:tcPr>
            <w:tcW w:w="3124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Оформление и выдача удостоверения «Участник ликвидации последствий катастрофы на Чернобыльской АЭС»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месячный срок со дня принятия от гражданина заявления с приложением необходимых документов на получение удостоверения;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оформление и выдача удостоверения (дубликата удостоверения) производится в двухмесячный срок со дня поступления бланков удостоверений получателю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Оформление и выдача удостоверения «получившего (ей) или перенесшего (ей) лучевую болезнь и другие заболевания, связанные с радиационным воздействием вследствие катастрофы на Чернобыльской АЭС, ставшего(ей) инвалидом»</w:t>
            </w:r>
          </w:p>
        </w:tc>
        <w:tc>
          <w:tcPr>
            <w:tcW w:w="3124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месячный срок со дня принятия от гражданина заявления с приложением необходимых документов на получение удостоверения;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оформление и выдача удостоверения (дубликата удостоверения) производится в двухмесячный срок со дня поступления бланков удостоверений получателю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Признание гражданина нуждающимся в социальном обслуживании</w:t>
            </w:r>
          </w:p>
        </w:tc>
        <w:tc>
          <w:tcPr>
            <w:tcW w:w="3124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492300"/>
                <w:spacing w:val="0"/>
                <w:kern w:val="0"/>
                <w:sz w:val="21"/>
                <w:szCs w:val="20"/>
              </w:rPr>
              <w:t>в течение 5 рабочих дней со дня регистрации заявления со всеми необходимыми документами</w:t>
            </w:r>
          </w:p>
        </w:tc>
      </w:tr>
      <w:tr>
        <w:trPr>
          <w:trHeight w:val="777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Присвоение звания «Ветеран труда»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14 рабочих дней со дня регистрации заявления со всеми необходимыми документами</w:t>
            </w:r>
          </w:p>
        </w:tc>
      </w:tr>
      <w:tr>
        <w:trPr>
          <w:trHeight w:val="2994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Присвоение  звания «Ветеран труда Ростовской области»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14 рабочих 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Оплата расходов на газификацию домовладения (квартиры)</w:t>
            </w:r>
          </w:p>
        </w:tc>
        <w:tc>
          <w:tcPr>
            <w:tcW w:w="3124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30 календарных дней со дня регистрации заявления со всеми необходимыми документами</w:t>
            </w:r>
          </w:p>
        </w:tc>
      </w:tr>
      <w:tr>
        <w:trPr>
          <w:trHeight w:val="2210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Выплата компенсации за проезд в пределах территории Российской Федерации (туда и обратно) один раз в год железнодорожным транспортом, а в районах, не имеющих железнодорожного сообщения, - 50 процентов стоимости проезда водным, воздушным или междугородным автомобильным транспортом реабилитированным гражданам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ежегодной денежной выплаты гражданам, награжденным нагрудными знаками «Почетный донор СССР», «Почетный донор России»</w:t>
            </w:r>
          </w:p>
        </w:tc>
        <w:tc>
          <w:tcPr>
            <w:tcW w:w="3124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7 рабочих 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Социальная поддержка жертв политических репрессий (выплата реабилитированным гражданам денежной компенсации на установку телефона)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Выплата компенсации за предоставленные услуги связи (абонентская плата за телефон и радио) ветеранам труда, гражданам, приравненным к ним, ветеранам труда Ростовской области</w:t>
            </w:r>
          </w:p>
        </w:tc>
        <w:tc>
          <w:tcPr>
            <w:tcW w:w="3124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Прием заявлений от региональных льготников для выдачи льготной проездной карты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передача документов из МФЦ в Орган – 1 рабочий день</w:t>
            </w:r>
          </w:p>
        </w:tc>
      </w:tr>
      <w:tr>
        <w:trPr>
          <w:trHeight w:val="651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Снижение стоимости лекарств по рецепту врача на 50 процентов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1773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Социальная поддержка отдельных категорий региональных льготников «Бесплатные изготовление и ремонт зубных протезов (кроме расходов на оплату стоимости драгоценных металлов и металлокерамики)»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1361" w:hRule="atLeast"/>
        </w:trPr>
        <w:tc>
          <w:tcPr>
            <w:tcW w:w="3752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Выдача гражданам удостоверений (дубликатов удостоверений), подтверждающих право на меры социальной поддержки в соответствии с Федеральным законом от 12.01.1995 N 5-ФЗ</w:t>
            </w:r>
          </w:p>
        </w:tc>
        <w:tc>
          <w:tcPr>
            <w:tcW w:w="3124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15 рабочих дней со дня регистрации заявления со всеми необходимыми документами</w:t>
            </w:r>
          </w:p>
        </w:tc>
      </w:tr>
      <w:tr>
        <w:trPr>
          <w:trHeight w:val="2322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информации, прием документов органами опеки и попечительства от лиц, желающих установить опеку (попечительство) или патронаж над определенной категорией граждан (лица, признанные в установленном законом порядке недееспособными)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18 рабочих дней</w:t>
            </w:r>
          </w:p>
        </w:tc>
      </w:tr>
      <w:tr>
        <w:trPr>
          <w:trHeight w:val="1074" w:hRule="atLeast"/>
        </w:trPr>
        <w:tc>
          <w:tcPr>
            <w:tcW w:w="3752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Выдача сертификата на региональный материнский капитал</w:t>
            </w:r>
          </w:p>
        </w:tc>
        <w:tc>
          <w:tcPr>
            <w:tcW w:w="3124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30 дней со дня регистрации заявления со всеми необходимыми документами</w:t>
            </w:r>
          </w:p>
        </w:tc>
      </w:tr>
      <w:tr>
        <w:trPr>
          <w:trHeight w:val="1437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ежемесячных денежных выплат на полноценное питание беременных женщин из малоимущих семей, кормящих матерей и детей в возрасте до трех лет из малоимущих семей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1278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Компенсация расходов на уплату взносов на капитальный ремонт общего имущества в многоквартирном доме отдельным категориям граждан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2541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Ежемесячная денежная выплата региональным льготникам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Прием заявлений от федеральных льготников для выдачи электронного социального проездного билета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передача документов из МФЦ в Орган – 1 рабочий день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Выдача удостоверения, подтверждающего статус многодетной семьи в Российской Федерации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течение 30 рабочих дней с даты регистрации заявления ОСЗН, а в случае направления запросов в рамках межведомственного взаимодействия - в течение 40 рабочих дней с даты регистрации заявления ОСЗН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4B2204"/>
                <w:spacing w:val="0"/>
                <w:kern w:val="0"/>
                <w:sz w:val="21"/>
                <w:szCs w:val="20"/>
              </w:rPr>
              <w:t>Предоставление меры социальной поддержки семей в связи с рождением ребенка в виде электронного сертификата на приобретение товаров и вещей, необходимых новорожденным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z w:val="20"/>
              </w:rPr>
            </w:pPr>
            <w:r>
              <w:rPr>
                <w:rFonts w:ascii="Arial" w:hAnsi="Arial"/>
                <w:color w:val="4B2204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4B2204"/>
                <w:spacing w:val="0"/>
                <w:kern w:val="0"/>
                <w:sz w:val="21"/>
                <w:szCs w:val="20"/>
              </w:rPr>
              <w:t>передача документов из МФЦ в Орган – 1 рабочий день (следующий за днем приема)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4B2204"/>
                <w:spacing w:val="0"/>
                <w:kern w:val="0"/>
                <w:sz w:val="21"/>
                <w:szCs w:val="20"/>
              </w:rPr>
              <w:t>максимальный срок исполнения услуги 15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rFonts w:ascii="Arial" w:hAnsi="Arial"/>
                <w:color w:val="4B2204"/>
                <w:spacing w:val="0"/>
                <w:kern w:val="0"/>
                <w:sz w:val="21"/>
                <w:szCs w:val="21"/>
              </w:rPr>
            </w:pPr>
            <w:r>
              <w:rPr>
                <w:rFonts w:ascii="Arial" w:hAnsi="Arial"/>
                <w:color w:val="4B2204"/>
                <w:spacing w:val="0"/>
                <w:kern w:val="0"/>
                <w:sz w:val="21"/>
                <w:szCs w:val="21"/>
              </w:rPr>
              <w:t>Компенсация в размере 50 процентов стоимости обучения в организациях среднего профессионального образования и высшего профессионального образования одного из детей многодетной семьи при рождении третьего или последующих детей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z w:val="20"/>
              </w:rPr>
            </w:pPr>
            <w:r>
              <w:rPr>
                <w:rFonts w:ascii="Arial" w:hAnsi="Arial"/>
                <w:color w:val="4B2204"/>
                <w:sz w:val="21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ind w:hanging="0" w:left="0" w:right="-108"/>
              <w:jc w:val="left"/>
              <w:rPr>
                <w:rFonts w:ascii="Arial" w:hAnsi="Arial"/>
                <w:color w:val="3B160E"/>
                <w:sz w:val="21"/>
                <w:szCs w:val="21"/>
              </w:rPr>
            </w:pPr>
            <w:r>
              <w:rPr>
                <w:rFonts w:eastAsia="Calibri" w:cs="Times New Roman" w:ascii="Arial" w:hAnsi="Arial"/>
                <w:iCs/>
                <w:color w:val="3B160E"/>
                <w:sz w:val="21"/>
                <w:szCs w:val="21"/>
              </w:rPr>
              <w:t>10 рабочих дней</w:t>
            </w:r>
          </w:p>
        </w:tc>
      </w:tr>
      <w:tr>
        <w:trPr>
          <w:trHeight w:val="734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center"/>
              <w:rPr>
                <w:rFonts w:ascii="Arial" w:hAnsi="Arial"/>
                <w:b/>
                <w:color w:val="993300"/>
                <w:sz w:val="21"/>
              </w:rPr>
            </w:pPr>
            <w:r>
              <w:rPr>
                <w:rFonts w:ascii="Arial" w:hAnsi="Arial"/>
                <w:b/>
                <w:color w:val="993300"/>
                <w:sz w:val="21"/>
              </w:rPr>
            </w:r>
          </w:p>
        </w:tc>
      </w:tr>
      <w:tr>
        <w:trPr>
          <w:trHeight w:val="734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Министерство  образования Ростовской области</w:t>
            </w:r>
          </w:p>
        </w:tc>
      </w:tr>
      <w:tr>
        <w:trPr>
          <w:trHeight w:val="734" w:hRule="atLeast"/>
        </w:trPr>
        <w:tc>
          <w:tcPr>
            <w:tcW w:w="3730" w:type="dxa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Выдача архивных справок на основании документов, находящихся на хранении в ведомственном архиве министерства образования Ростовской области</w:t>
            </w:r>
          </w:p>
        </w:tc>
        <w:tc>
          <w:tcPr>
            <w:tcW w:w="3182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694" w:type="dxa"/>
            <w:gridSpan w:val="3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оказания услуги – 30 календарных дней</w:t>
            </w:r>
          </w:p>
        </w:tc>
      </w:tr>
      <w:tr>
        <w:trPr>
          <w:trHeight w:val="734" w:hRule="atLeast"/>
        </w:trPr>
        <w:tc>
          <w:tcPr>
            <w:tcW w:w="3730" w:type="dxa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Организация отдыха и оздоровления детей</w:t>
            </w:r>
          </w:p>
        </w:tc>
        <w:tc>
          <w:tcPr>
            <w:tcW w:w="3182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694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-108"/>
              <w:jc w:val="center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 принятия решения о предоставлении(отказе  в предоставлении) бесплатных путевок — 30 дней с даты  регистрации заявления;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-57" w:right="-108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принятия решения о предоставлении (об отказе  в предоставлении) компенсации — 20 рабочих дней с даты регистрации заявления</w:t>
            </w:r>
          </w:p>
        </w:tc>
      </w:tr>
      <w:tr>
        <w:trPr>
          <w:trHeight w:val="639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Министерство строительства, архитектуры и территориального развития Ростовской области</w:t>
            </w:r>
          </w:p>
        </w:tc>
      </w:tr>
      <w:tr>
        <w:trPr>
          <w:trHeight w:val="4616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разрешения на строительство в случае, если строительство объекта капитального строительства планируется осуществлять на территориях двух и более муниципальных образований (муниципальных районов, городских округов),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городских округов) (за исключением строительства автомобильных дорог и дорожных сооружений)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оказания услуги – 10 календарных дней</w:t>
            </w:r>
          </w:p>
        </w:tc>
      </w:tr>
      <w:tr>
        <w:trPr>
          <w:trHeight w:val="4478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разрешения на ввод в эксплуатацию в случае, если строительство объекта капитального строительства осуществлено на территориях двух и более муниципальных образований (муниципальных районов, городских округов),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городских округов) (за исключением строительства автомобильных дорог и дорожных сооружений, линий связи)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оказания услуги – 10 календарных дней</w:t>
            </w:r>
          </w:p>
        </w:tc>
      </w:tr>
      <w:tr>
        <w:trPr>
          <w:trHeight w:val="417" w:hRule="atLeast"/>
        </w:trPr>
        <w:tc>
          <w:tcPr>
            <w:tcW w:w="10606" w:type="dxa"/>
            <w:gridSpan w:val="8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Министерство природных ресурсов и экологии Ростовской области</w:t>
            </w:r>
          </w:p>
        </w:tc>
      </w:tr>
      <w:tr>
        <w:trPr>
          <w:trHeight w:val="811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в пределах земель лесного фонда лесных участков в постоянное (бессрочное) пользование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оказания услуги – 30 рабочих дней</w:t>
            </w:r>
          </w:p>
        </w:tc>
      </w:tr>
      <w:tr>
        <w:trPr>
          <w:trHeight w:val="882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в пределах земель лесного фонда лесных участков в безвозмездное пользование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оказания услуги – 30 рабочих дней</w:t>
            </w:r>
          </w:p>
        </w:tc>
      </w:tr>
      <w:tr>
        <w:trPr>
          <w:trHeight w:val="1232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права пользования недрами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государственная пошлина – 7500 рублей</w:t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jc w:val="center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оказания услуги – 95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Внесение изменений в лицензию на право пользования недрами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государственная пошлина – 750 рублей</w:t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jc w:val="center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  <w:p>
            <w:pPr>
              <w:pStyle w:val="Normal"/>
              <w:suppressAutoHyphens w:val="true"/>
              <w:spacing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оказания услуги – 90 рабочих дней</w:t>
            </w:r>
          </w:p>
        </w:tc>
      </w:tr>
      <w:tr>
        <w:trPr>
          <w:trHeight w:val="848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Переоформление лицензии на право пользования недрами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государственная пошлина – 750 рублей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оказания услуги – 90 рабочих дней</w:t>
            </w:r>
          </w:p>
        </w:tc>
      </w:tr>
      <w:tr>
        <w:trPr>
          <w:trHeight w:val="1012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Прекращение права пользования недрами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государственная пошлина – 750 рублей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оказания услуги – 60 рабочих дней</w:t>
            </w:r>
          </w:p>
        </w:tc>
      </w:tr>
      <w:tr>
        <w:trPr>
          <w:trHeight w:val="1101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Выдача разрешений на добычу охотничьих ресурсов, за исключением охотничьих ресурсов, находящихся на особо охраняемых природных территориях федерального значения, а также млекопитающих и птиц, занесенных в Красную книгу Российской Федерации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государственная пошлина - 650 рублей;</w:t>
            </w:r>
          </w:p>
          <w:p>
            <w:pPr>
              <w:pStyle w:val="Normal"/>
              <w:suppressAutoHyphens w:val="true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сбор за пользование объектами животного мира ставки сбора за каждый объект животного мира устанавливаются пунктами 2 и 3. статьи 333.3.НК РФ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оказания услуги - 5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Выдача и аннулирование охотничьих билетов единого федерального образца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оказания услуги - 5 рабочих дней</w:t>
            </w:r>
          </w:p>
        </w:tc>
      </w:tr>
      <w:tr>
        <w:trPr>
          <w:trHeight w:val="207" w:hRule="atLeast"/>
        </w:trPr>
        <w:tc>
          <w:tcPr>
            <w:tcW w:w="10606" w:type="dxa"/>
            <w:gridSpan w:val="8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Комитет по молодежной политике Ростовской области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Формирование областного реестра молодежных и детских общественных объединений, пользующихся государственной поддержкой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оказания услуги – 5 рабочих дней</w:t>
            </w:r>
          </w:p>
        </w:tc>
      </w:tr>
      <w:tr>
        <w:trPr>
          <w:trHeight w:val="793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субсидий студенческим отрядам Ростовской области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оказания услуги – 18 рабочих дней</w:t>
            </w:r>
          </w:p>
        </w:tc>
      </w:tr>
      <w:tr>
        <w:trPr>
          <w:trHeight w:val="2110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Предоставление субсидий молодежным и детским общественным объединениям, входящим в областной реестр молодежных и детских общественных объединений, пользующихся государственной поддержкой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оказания услуги – 28 рабочих дней</w:t>
            </w:r>
          </w:p>
        </w:tc>
      </w:tr>
      <w:tr>
        <w:trPr>
          <w:trHeight w:val="222" w:hRule="atLeast"/>
        </w:trPr>
        <w:tc>
          <w:tcPr>
            <w:tcW w:w="10606" w:type="dxa"/>
            <w:gridSpan w:val="8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Управление ветеринарии Ростовской области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Регистрация специалистов в области ветеринарии, занимающихся предпринимательской деятельностью в области ветеринарии на территории Ростовской области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оказания услуги – 10 рабочих дней</w:t>
            </w:r>
          </w:p>
        </w:tc>
      </w:tr>
      <w:tr>
        <w:trPr>
          <w:trHeight w:val="409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Управление государственного надзора за техническим состоянием самоходных машин и других видов техники Ростовской области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160"/>
              <w:ind w:hanging="0" w:left="0" w:right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Прием экзаменов на право управления самоходными машинами и выдача подтверждающих право на управление самоходными машинами удостоверений подуслуга «Замена удостоверения-тракториста машиниста (тракториста) или удостоверения другого вида»</w:t>
            </w:r>
            <w:r>
              <w:rPr>
                <w:rStyle w:val="FootnoteReference"/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footnoteReference w:id="7"/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Размер государственной пошлины за замену удостоверения тракториста-машиниста составляет 500 рублей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оказания услуги – 5 рабочих дней.</w:t>
            </w:r>
          </w:p>
        </w:tc>
      </w:tr>
      <w:tr>
        <w:trPr>
          <w:trHeight w:val="179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ЗАГС</w:t>
            </w:r>
          </w:p>
        </w:tc>
      </w:tr>
      <w:tr>
        <w:trPr>
          <w:trHeight w:val="700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Государственная регистрация рождения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63300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63300"/>
                <w:spacing w:val="0"/>
                <w:kern w:val="0"/>
                <w:sz w:val="21"/>
                <w:szCs w:val="20"/>
              </w:rPr>
              <w:t>3 рабочих дня (передача из МФЦ в орган – 1 рабочий день; государственная регистрация – 1 рабочий день; передача из органа в МФЦ – 1 рабочий день)</w:t>
            </w:r>
          </w:p>
        </w:tc>
      </w:tr>
      <w:tr>
        <w:trPr>
          <w:trHeight w:val="830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Государственная регистрация смерти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63300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63300"/>
                <w:spacing w:val="0"/>
                <w:kern w:val="0"/>
                <w:sz w:val="21"/>
                <w:szCs w:val="20"/>
              </w:rPr>
              <w:t>3 рабочих дня (передача из МФЦ в орган – 1 рабочий день; государственная регистрация – 1 рабочий день; передача из органа в МФЦ – 1 рабочий день)</w:t>
            </w:r>
          </w:p>
        </w:tc>
      </w:tr>
      <w:tr>
        <w:trPr>
          <w:trHeight w:val="857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Государственная регистрация заключения брака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63300"/>
                <w:spacing w:val="0"/>
                <w:kern w:val="0"/>
                <w:sz w:val="21"/>
                <w:szCs w:val="20"/>
              </w:rPr>
              <w:t>стоимость подачи заявления в ЗАГС составляет 350 рублей.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663300"/>
                <w:sz w:val="21"/>
              </w:rPr>
            </w:pPr>
            <w:r>
              <w:rPr>
                <w:rFonts w:ascii="Arial" w:hAnsi="Arial"/>
                <w:color w:val="663300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63300"/>
                <w:spacing w:val="0"/>
                <w:kern w:val="0"/>
                <w:sz w:val="21"/>
                <w:szCs w:val="20"/>
              </w:rPr>
              <w:t>по истечении месяца со дня подачи заявления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Государственная регистрация расторжения брака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63300"/>
                <w:spacing w:val="0"/>
                <w:kern w:val="0"/>
                <w:sz w:val="21"/>
                <w:szCs w:val="20"/>
              </w:rPr>
              <w:t>размер государственной пошлины году за подачу заявления в ЗАГС на развод составляет 5000 рублей с каждого из супругов.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663300"/>
                <w:sz w:val="21"/>
              </w:rPr>
            </w:pPr>
            <w:r>
              <w:rPr>
                <w:rFonts w:ascii="Arial" w:hAnsi="Arial"/>
                <w:color w:val="663300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63300"/>
                <w:spacing w:val="0"/>
                <w:kern w:val="0"/>
                <w:sz w:val="21"/>
                <w:szCs w:val="20"/>
              </w:rPr>
              <w:t>по истечении месяца со дня подачи заявления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Выдача повторного свидетельства о государственной регистрации акта гражданского состояния и иных документов, подтверждающих наличие либо отсутствие факта государственной регистрации акта гражданского состояния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84" w:right="-28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63300"/>
                <w:spacing w:val="0"/>
                <w:kern w:val="0"/>
                <w:sz w:val="21"/>
                <w:szCs w:val="20"/>
              </w:rPr>
              <w:t>государственная пошлина,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28" w:left="84" w:right="114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63300"/>
                <w:spacing w:val="0"/>
                <w:kern w:val="0"/>
                <w:sz w:val="21"/>
                <w:szCs w:val="20"/>
              </w:rPr>
              <w:t>500 рублей -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28" w:left="84" w:right="114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63300"/>
                <w:spacing w:val="0"/>
                <w:kern w:val="0"/>
                <w:sz w:val="21"/>
                <w:szCs w:val="20"/>
              </w:rPr>
              <w:t>за выдачу повторного свидетельства о государственной регистрации акта гражданского состояния;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28" w:left="84" w:right="114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63300"/>
                <w:spacing w:val="0"/>
                <w:kern w:val="0"/>
                <w:sz w:val="21"/>
                <w:szCs w:val="20"/>
              </w:rPr>
              <w:t>350 рублей –за выдачу справок из архивов органов записи актов гражданского состояния.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28" w:left="84" w:right="114"/>
              <w:jc w:val="center"/>
              <w:rPr>
                <w:rFonts w:ascii="Arial" w:hAnsi="Arial"/>
                <w:color w:val="663300"/>
                <w:sz w:val="21"/>
              </w:rPr>
            </w:pPr>
            <w:r>
              <w:rPr>
                <w:rFonts w:ascii="Arial" w:hAnsi="Arial"/>
                <w:color w:val="663300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28" w:left="84" w:right="114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63300"/>
                <w:spacing w:val="0"/>
                <w:kern w:val="0"/>
                <w:sz w:val="20"/>
                <w:szCs w:val="20"/>
              </w:rPr>
              <w:t>30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Проставление апостиля на официальных документах, выданных компетентными органами Ростовской области в подтверждение фактов государственной регистрации актов гражданского состояния или их отсутствия</w:t>
            </w:r>
            <w:r>
              <w:rPr>
                <w:rStyle w:val="FootnoteReference"/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footnoteReference w:id="8"/>
            </w: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.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84" w:right="-28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63300"/>
                <w:spacing w:val="0"/>
                <w:kern w:val="0"/>
                <w:sz w:val="21"/>
                <w:szCs w:val="20"/>
              </w:rPr>
              <w:t>Государственная пошлина за предоставление государственной услуги – 2500 руб. за каждый проставляемый документ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84" w:right="-28"/>
              <w:jc w:val="center"/>
              <w:rPr>
                <w:rFonts w:ascii="Arial" w:hAnsi="Arial"/>
                <w:color w:val="663300"/>
                <w:sz w:val="21"/>
              </w:rPr>
            </w:pPr>
            <w:r>
              <w:rPr>
                <w:rFonts w:ascii="Arial" w:hAnsi="Arial"/>
                <w:color w:val="663300"/>
                <w:sz w:val="21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84" w:right="-28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i/>
                <w:color w:val="623B2A"/>
                <w:spacing w:val="0"/>
                <w:kern w:val="0"/>
                <w:sz w:val="21"/>
                <w:szCs w:val="20"/>
              </w:rPr>
              <w:t>В МФЦ доступна безналичная оплата пошлины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63300"/>
                <w:spacing w:val="0"/>
                <w:kern w:val="0"/>
                <w:sz w:val="21"/>
                <w:szCs w:val="20"/>
              </w:rPr>
              <w:t>7 рабочих дней (передача из МФЦ в орган 3 рабочих дня; проставление апостиля в органе – 1 рабочий день; передача из органа в МФЦ – 3 рабочих дня)</w:t>
            </w:r>
          </w:p>
        </w:tc>
      </w:tr>
      <w:tr>
        <w:trPr>
          <w:trHeight w:val="244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Комитет по управлению архивным делом Ростовской области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Информационное обеспечение физических и юридических лиц на основе документов Архивного фонда Российской Федерации и других архивных документов</w:t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Бесплатно,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Государственная пошлина - по исполнению тематических, имущественных и биографических запросов (для архивов, предоставляющих услугу платно).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30 календарных дней.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случаях необходимости предоставления Заявителем дополнительных сведений для исполнения запроса, просматривания большого объема архивных документов, размещения архивохранилищ вне основной территории Архива, переезда Архива, недостаточно развернутого научно-справочного аппарата, проведения научно-технической обработки документов, их реставрации срок предоставления государственной услуги продлевается, но не более чем на 30 календарных дней</w:t>
            </w:r>
          </w:p>
        </w:tc>
      </w:tr>
      <w:tr>
        <w:trPr>
          <w:trHeight w:val="315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Департамент по предупреждению и ликвидации чрезвычайных ситуаций Ростовской области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Назначение выплаты единовременной материальной помощи гражданам, пострадавшим в результате чрезвычайных ситуаций природного и техногенного характера</w:t>
            </w:r>
          </w:p>
        </w:tc>
        <w:tc>
          <w:tcPr>
            <w:tcW w:w="3124" w:type="dxa"/>
            <w:gridSpan w:val="2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11 календарных дней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государственная услуга предоставляется Заявителю, если обращение за ней последовало не позднее 1 месяца со дня введения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Назначение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</w:t>
            </w:r>
          </w:p>
        </w:tc>
        <w:tc>
          <w:tcPr>
            <w:tcW w:w="3124" w:type="dxa"/>
            <w:gridSpan w:val="2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11 календарных дней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государственная услуга предоставляется Заявителю, если обращение за ней последовало не позднее 1 месяца со дня введения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</w:t>
            </w:r>
          </w:p>
        </w:tc>
      </w:tr>
      <w:tr>
        <w:trPr>
          <w:trHeight w:val="315" w:hRule="atLeast"/>
        </w:trPr>
        <w:tc>
          <w:tcPr>
            <w:tcW w:w="10606" w:type="dxa"/>
            <w:gridSpan w:val="8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1"/>
                <w:szCs w:val="20"/>
              </w:rPr>
              <w:t>Типовые муниципальные услуги*</w:t>
            </w:r>
          </w:p>
        </w:tc>
      </w:tr>
      <w:tr>
        <w:trPr>
          <w:trHeight w:val="315" w:hRule="atLeast"/>
        </w:trPr>
        <w:tc>
          <w:tcPr>
            <w:tcW w:w="10606" w:type="dxa"/>
            <w:gridSpan w:val="8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Муниципальные услуги в сфере земельно-имущественных отношений, архитектуры и градостроительства, а также в жилищной сфере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Постановка на учет граждан, имеющих трех и более детей в целях бесплатного предоставления земельного участка в собственность для индивидуального жилищного строительства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 1 месяц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Постановка на учет граждан, имеющих трех и более детей в целях бесплатного предоставления земельного участка в собственность для ведения личного подсобного хозяйства или создания крестьянского (фермерского) хозяйства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 1 месяц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Прекращение права постоянного (бессрочного) пользования и   пожизненного наследуемого владения земельным участком при отказе землепользователя, землевладельца от принадлежащего им права на земельный участок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 1 месяц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Предоставление информации об объектах учета из реестра муниципального имущества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10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Заключение договоров аренды муниципального имущества (за исключением земельных участков) на новый срок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104 календарных дня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Выдача справки об отсутствии (наличии) задолженности по арендной плате за земельный участок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5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Предоставление муниципального имущества (за исключением земельных участков) в аренду без проведения торгов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104 календарных дня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Расторжение договора аренды, безвозмездного пользования земельным участком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30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Расторжение договора аренды муниципального имущества (за исключением земельных участков)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37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Заключение дополнительных соглашений к договорам аренды, безвозмездного пользования земельным участком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30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Заключение дополнительных соглашений к договорам аренды муниципального имущества (за исключением земельных участков)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60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Предоставление правообладателю муниципального имущества, а также земельных участков, заверенных копий правоустанавливающих документов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10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Выдача арендатору земельного участка согласия на залог права аренды земельного участка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10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Сверка арендных платежей с арендаторами земельных участков, муниципального имущества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15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Уточнение вида и принадлежности платежей по арендной плате или возврат излишне оплаченных денежных средств за земельные участки, муниципальное имущество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45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Предоставление земельного участка в безвозмездное пользование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30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Предоставление земельного участка, находящегося в муниципальной собственности, или государственная собственность на который не разграничена, на торгах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2 месяца со дня регистрации заявления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Продажа земельного участка без проведения торгов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30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Предоставление земельного участка в аренду без проведения торгов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30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Предоставление земельного участка в собственность бесплатно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30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Предоставление земельного участка в постоянное (бессрочное) пользование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30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не более 30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tabs>
                <w:tab w:val="clear" w:pos="708"/>
                <w:tab w:val="left" w:pos="10206" w:leader="none"/>
              </w:tabs>
              <w:suppressAutoHyphens w:val="true"/>
              <w:spacing w:before="0" w:after="160"/>
              <w:ind w:hanging="0" w:left="0" w:right="-1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color w:val="2F1D03"/>
                <w:spacing w:val="0"/>
                <w:kern w:val="0"/>
                <w:sz w:val="24"/>
                <w:szCs w:val="20"/>
              </w:rPr>
              <w:t>Установление сервитута в отношении земельного участка, находящегося в государственной или муниципальной собственности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4"/>
                <w:szCs w:val="20"/>
              </w:rPr>
              <w:t>срок оказания услуги – не более 30 дней  со дня регистрации заявления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-1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color w:val="2F1D03"/>
                <w:spacing w:val="0"/>
                <w:kern w:val="0"/>
                <w:sz w:val="24"/>
                <w:szCs w:val="20"/>
              </w:rPr>
              <w:t>Предоставление лесного участка в постоянное (бессрочное) пользование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20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Передача в собственность граждан занимаемых ими жилых помещений, находящихся в муниципальной собственности (приватизация муниципального жилого фонда)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2 месяца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Взаимозачет денежных средств при осуществлении платежей по договору аренды земельного участка и за аренду муниципального имущества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5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Передача в муниципальную собственность ранее приватизированных жилых помещений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2 месяца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 20 календарных дней.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При обращении о предварительном согласовании граждан для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индивидуального жилищного строительства, ведения личного подсобного хозяйства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в границах населенного пункта, садоводства, дачного хозяйства, граждан и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крестьянских  (фермерских)  хозяйств  для  осуществления  крестьянским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(фермерским) хозяйством его деятельности – не более 60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Утверждение схемы расположения земельного участка или земельных участков на кадастровом плане территории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услуги: 1 месяц - в случае образования земельного участка путем раздела или объединения, перераспределения или при выделе земельного участка,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2 месяца - в случае образования участка для проведения торгов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Выдача разрешения на строительство объекта капитального строительства (в том числе внесение изменений в  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5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Выдача разрешения на ввод объекта в эксплуатацию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5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4"/>
                <w:szCs w:val="20"/>
              </w:rPr>
              <w:t>Согласование проведения переустройства и (или) перепланировки помещения в многоквартирном доме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45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Выдача актов приемочной комиссии после переустройства и (или) перепланировки помещения в многоквартирном доме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15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Выдача градостроительного плана земельного участка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20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Перевод жилого помещения в нежилое помещение и нежилого помещения в жилое помещение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45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Выдача разрешений на установку и эксплуатацию рекламных конструкций на соответствующей территории, аннулирование такого разрешения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пошлина 5000 руб.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2 месяца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Предоставление сведений, документов, материалов, содержащихся в государственной информационной системе обеспечения градостроительной деятельности Ростовской области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14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54 календарных дня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Присвоение адреса объекту адресации, изменение и аннулирование такого адреса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18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Согласование проектных решений по отделке фасадов (паспортов цветовых решений фасадов) при реконструкции и ремонте зданий, сооружений и временных объектов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15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Согласование проектов внешнего благоустройства и элементов внешнего благоустройства, в том числе проектов декоративной подсветки фасадов зданий и сооружений, памятников, малых архитектурных форм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15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Выдача акта освидетельствования  проведения основных работ по строительству (реконструкции)  объекта индивидуального  жилищного строительства с привлечением средств материнского (семейного) капитала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10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54 календарных дня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Выдача разрешения на использование земель или земельного участка, которые находятся в государственной или муниципальной собственности,  без предоставления земельных участков и установления сервитута, публичного сервитута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18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4"/>
                <w:szCs w:val="20"/>
              </w:rPr>
              <w:t>Признание садового дома жилым домом и жилого дома садовым домом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4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4"/>
                <w:szCs w:val="20"/>
              </w:rPr>
              <w:t>срок оказания услуги – 45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4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4"/>
                <w:szCs w:val="20"/>
              </w:rPr>
              <w:t>срок оказания услуги – 7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Принятие на учет граждан в качестве нуждающихся в жилых помещениях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25 рабочий день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Включение молодых семей, нуждающихся в улучшении жилищных условий,  в состав участников мероприятия по обеспечению жильем молодых семей федерального проекта «Содействие  субъектам Российской Федерации  в реализации полномочий по оказанию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      </w:r>
          </w:p>
        </w:tc>
        <w:tc>
          <w:tcPr>
            <w:tcW w:w="3124" w:type="dxa"/>
            <w:gridSpan w:val="2"/>
            <w:tcBorders/>
            <w:shd w:fill="FFFFFF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FFFFFF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10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lineRule="auto" w:line="276" w:before="0" w:after="20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Признание молодых семей нуждающимися в жилье с целью участия в  мероприятии по обеспечению жильем молодых семей федерального проекта «Содействие субъектам Российской Федерации в реализации полномочий по оказанию  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30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Принятие на учет граждан, нуждающихся в жилых помещениях специализированного муниципального жилищного фонда</w:t>
            </w:r>
          </w:p>
        </w:tc>
        <w:tc>
          <w:tcPr>
            <w:tcW w:w="3124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30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lineRule="auto" w:line="276" w:before="0" w:after="20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Предоставление освободившихся жилых помещений в коммунальной квартире гражданам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31 рабочий день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  <w:highlight w:val="white"/>
              </w:rPr>
              <w:t>Предоставление жилого помещения по договору социального найма</w:t>
            </w:r>
          </w:p>
        </w:tc>
        <w:tc>
          <w:tcPr>
            <w:tcW w:w="3124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  <w:highlight w:val="white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  <w:highlight w:val="white"/>
              </w:rPr>
              <w:t>срок оказания услуги — 25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lineRule="auto" w:line="276" w:before="0" w:after="20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7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Направление уведомления о соответствии 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</w:p>
        </w:tc>
        <w:tc>
          <w:tcPr>
            <w:tcW w:w="3124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7 рабочих дней</w:t>
            </w:r>
          </w:p>
        </w:tc>
      </w:tr>
      <w:tr>
        <w:trPr>
          <w:trHeight w:val="315" w:hRule="atLeast"/>
        </w:trPr>
        <w:tc>
          <w:tcPr>
            <w:tcW w:w="10606" w:type="dxa"/>
            <w:gridSpan w:val="8"/>
            <w:tcBorders/>
            <w:shd w:fill="EEDFCA" w:val="clear"/>
          </w:tcPr>
          <w:p>
            <w:pPr>
              <w:pStyle w:val="110"/>
              <w:widowControl/>
              <w:suppressAutoHyphens w:val="true"/>
              <w:spacing w:lineRule="auto" w:line="240" w:before="0" w:after="200"/>
              <w:ind w:hanging="0" w:left="0" w:right="0"/>
              <w:jc w:val="center"/>
              <w:rPr>
                <w:rFonts w:ascii="Times New Roman" w:hAnsi="Times New Roman"/>
                <w:color w:val="000000"/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813709"/>
                <w:spacing w:val="0"/>
                <w:kern w:val="0"/>
                <w:sz w:val="21"/>
                <w:szCs w:val="20"/>
              </w:rPr>
              <w:t>Услуги в сфере прочих вопросов, входящих в компетенцию Администрации города Шахты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Признание помещения жилым помещением жилого помещения пригодным (непригодным) для проживания граждан, а также многоквартирного дома аварийным и подлежащим сносу или реконструкции</w:t>
            </w:r>
          </w:p>
        </w:tc>
        <w:tc>
          <w:tcPr>
            <w:tcW w:w="3124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60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lineRule="auto" w:line="276" w:before="0" w:after="20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Заключение договора о  размещении нестационарных торговых объектов на территории муниципального образования «Город Шахты» без проведения торговли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25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4"/>
                <w:szCs w:val="20"/>
              </w:rPr>
              <w:t>Дача письменных разъяснений налогоплательщикам по вопросам применения муниципальных нормативных правовых актов о местных налогах и сборах</w:t>
            </w:r>
          </w:p>
        </w:tc>
        <w:tc>
          <w:tcPr>
            <w:tcW w:w="3124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10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lineRule="auto" w:line="276" w:before="0" w:after="20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Выдача разрешения на уничтожение и (или) повреждение зеленых насаждений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— 20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76" w:before="0" w:after="20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Предоставление разрешения на осуществление земляных работ</w:t>
            </w:r>
          </w:p>
        </w:tc>
        <w:tc>
          <w:tcPr>
            <w:tcW w:w="3124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– 16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lineRule="auto" w:line="276" w:before="0" w:after="20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Проведение муниципальной экспертизы проекта освоения лесов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— не более 15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0205" w:leader="none"/>
              </w:tabs>
              <w:suppressAutoHyphens w:val="true"/>
              <w:spacing w:lineRule="auto" w:line="276" w:before="0" w:after="200"/>
              <w:ind w:hanging="0" w:left="0" w:right="-1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4"/>
                <w:szCs w:val="20"/>
              </w:rPr>
              <w:t>Сверка платежей по договору о размещении нестационарных торговых объектов на территории муниципального образования «Город Шахты»</w:t>
            </w:r>
          </w:p>
        </w:tc>
        <w:tc>
          <w:tcPr>
            <w:tcW w:w="3124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142" w:leader="none"/>
                <w:tab w:val="left" w:pos="284" w:leader="none"/>
                <w:tab w:val="left" w:pos="567" w:leader="none"/>
                <w:tab w:val="left" w:pos="851" w:leader="none"/>
                <w:tab w:val="left" w:pos="1134" w:leader="none"/>
              </w:tabs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4"/>
                <w:szCs w:val="20"/>
              </w:rPr>
              <w:t xml:space="preserve">срок оказания услуги – </w:t>
            </w:r>
            <w:r>
              <w:rPr>
                <w:rFonts w:ascii="Times New Roman CYR" w:hAnsi="Times New Roman CYR"/>
                <w:color w:val="2F1D03"/>
                <w:spacing w:val="0"/>
                <w:kern w:val="0"/>
                <w:sz w:val="24"/>
                <w:szCs w:val="20"/>
              </w:rPr>
              <w:t>15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tabs>
                <w:tab w:val="clear" w:pos="708"/>
                <w:tab w:val="left" w:pos="10205" w:leader="none"/>
              </w:tabs>
              <w:suppressAutoHyphens w:val="true"/>
              <w:spacing w:lineRule="auto" w:line="276" w:before="0" w:after="200"/>
              <w:ind w:hanging="0" w:left="0" w:right="-1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4"/>
                <w:szCs w:val="20"/>
              </w:rPr>
              <w:t>Заключение дополнительных соглашений к договору о размещении нестационарных торговых объектов на территории муниципального образования «Город Шахты», заключенного без проведения торгов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tabs>
                <w:tab w:val="clear" w:pos="708"/>
                <w:tab w:val="left" w:pos="142" w:leader="none"/>
                <w:tab w:val="left" w:pos="284" w:leader="none"/>
                <w:tab w:val="left" w:pos="567" w:leader="none"/>
                <w:tab w:val="left" w:pos="851" w:leader="none"/>
                <w:tab w:val="left" w:pos="1134" w:leader="none"/>
              </w:tabs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4"/>
                <w:szCs w:val="20"/>
              </w:rPr>
              <w:t xml:space="preserve">срок оказания услуги – </w:t>
            </w:r>
            <w:r>
              <w:rPr>
                <w:rFonts w:ascii="Times New Roman CYR" w:hAnsi="Times New Roman CYR"/>
                <w:color w:val="2F1D03"/>
                <w:spacing w:val="0"/>
                <w:kern w:val="0"/>
                <w:sz w:val="24"/>
                <w:szCs w:val="20"/>
              </w:rPr>
              <w:t>15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0205" w:leader="none"/>
              </w:tabs>
              <w:suppressAutoHyphens w:val="true"/>
              <w:spacing w:lineRule="auto" w:line="276" w:before="0" w:after="200"/>
              <w:ind w:hanging="0" w:left="0" w:right="-1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4"/>
                <w:szCs w:val="20"/>
              </w:rPr>
              <w:t>Выдача свидетельства участника выездной торговли в дни проведения праздничных мероприятий на территории муниципального образования «Город Шахты»</w:t>
            </w:r>
          </w:p>
        </w:tc>
        <w:tc>
          <w:tcPr>
            <w:tcW w:w="3124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142" w:leader="none"/>
                <w:tab w:val="left" w:pos="284" w:leader="none"/>
                <w:tab w:val="left" w:pos="567" w:leader="none"/>
                <w:tab w:val="left" w:pos="851" w:leader="none"/>
                <w:tab w:val="left" w:pos="1134" w:leader="none"/>
              </w:tabs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4"/>
                <w:szCs w:val="20"/>
              </w:rPr>
              <w:t xml:space="preserve">срок оказания услуги – </w:t>
            </w:r>
            <w:r>
              <w:rPr>
                <w:rFonts w:ascii="Times New Roman CYR" w:hAnsi="Times New Roman CYR"/>
                <w:color w:val="2F1D03"/>
                <w:spacing w:val="0"/>
                <w:kern w:val="0"/>
                <w:sz w:val="24"/>
                <w:szCs w:val="20"/>
              </w:rPr>
              <w:t>11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tabs>
                <w:tab w:val="clear" w:pos="708"/>
                <w:tab w:val="left" w:pos="10205" w:leader="none"/>
              </w:tabs>
              <w:suppressAutoHyphens w:val="true"/>
              <w:spacing w:lineRule="auto" w:line="276" w:before="0" w:after="200"/>
              <w:ind w:hanging="0" w:left="0" w:right="-1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color w:val="2F1D03"/>
                <w:spacing w:val="0"/>
                <w:kern w:val="0"/>
                <w:sz w:val="24"/>
                <w:szCs w:val="20"/>
              </w:rPr>
              <w:t>Расторжение договора о размещении нестационарных торговых объектов на территории муниципального образования «Город Шахты»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tabs>
                <w:tab w:val="clear" w:pos="708"/>
                <w:tab w:val="left" w:pos="142" w:leader="none"/>
                <w:tab w:val="left" w:pos="284" w:leader="none"/>
                <w:tab w:val="left" w:pos="567" w:leader="none"/>
                <w:tab w:val="left" w:pos="851" w:leader="none"/>
                <w:tab w:val="left" w:pos="1134" w:leader="none"/>
              </w:tabs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4"/>
                <w:szCs w:val="20"/>
              </w:rPr>
              <w:t xml:space="preserve">срок оказания услуги – </w:t>
            </w:r>
            <w:r>
              <w:rPr>
                <w:rFonts w:ascii="Times New Roman CYR" w:hAnsi="Times New Roman CYR"/>
                <w:color w:val="2F1D03"/>
                <w:spacing w:val="0"/>
                <w:kern w:val="0"/>
                <w:sz w:val="24"/>
                <w:szCs w:val="20"/>
              </w:rPr>
              <w:t>15 рабочих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tabs>
                <w:tab w:val="clear" w:pos="708"/>
                <w:tab w:val="left" w:pos="10205" w:leader="none"/>
              </w:tabs>
              <w:suppressAutoHyphens w:val="true"/>
              <w:spacing w:lineRule="auto" w:line="276" w:before="0" w:after="200"/>
              <w:ind w:hanging="0" w:left="0" w:right="-1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color w:val="2F1D03"/>
                <w:spacing w:val="0"/>
                <w:kern w:val="0"/>
                <w:sz w:val="24"/>
                <w:szCs w:val="20"/>
              </w:rPr>
              <w:t>Организация ярмарок на территории муниципального образования «Город Шахты»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tabs>
                <w:tab w:val="clear" w:pos="708"/>
                <w:tab w:val="left" w:pos="142" w:leader="none"/>
                <w:tab w:val="left" w:pos="284" w:leader="none"/>
                <w:tab w:val="left" w:pos="567" w:leader="none"/>
                <w:tab w:val="left" w:pos="851" w:leader="none"/>
                <w:tab w:val="left" w:pos="1134" w:leader="none"/>
              </w:tabs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- 10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EEDFCA" w:val="clear"/>
          </w:tcPr>
          <w:p>
            <w:pPr>
              <w:pStyle w:val="Normal"/>
              <w:tabs>
                <w:tab w:val="clear" w:pos="708"/>
                <w:tab w:val="left" w:pos="10205" w:leader="none"/>
              </w:tabs>
              <w:suppressAutoHyphens w:val="true"/>
              <w:spacing w:lineRule="auto" w:line="276" w:before="0" w:after="200"/>
              <w:ind w:hanging="0" w:left="0" w:right="-1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color w:val="2F1D03"/>
                <w:spacing w:val="0"/>
                <w:kern w:val="0"/>
                <w:sz w:val="24"/>
                <w:szCs w:val="20"/>
              </w:rPr>
              <w:t>Организация розничных рынков на территории муниципального образования «Город Шахты»</w:t>
            </w:r>
          </w:p>
        </w:tc>
        <w:tc>
          <w:tcPr>
            <w:tcW w:w="3124" w:type="dxa"/>
            <w:gridSpan w:val="2"/>
            <w:tcBorders/>
            <w:shd w:fill="EEDFCA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EEDFCA" w:val="clear"/>
            <w:vAlign w:val="center"/>
          </w:tcPr>
          <w:p>
            <w:pPr>
              <w:pStyle w:val="Normal"/>
              <w:tabs>
                <w:tab w:val="clear" w:pos="708"/>
                <w:tab w:val="left" w:pos="142" w:leader="none"/>
                <w:tab w:val="left" w:pos="284" w:leader="none"/>
                <w:tab w:val="left" w:pos="567" w:leader="none"/>
                <w:tab w:val="left" w:pos="851" w:leader="none"/>
                <w:tab w:val="left" w:pos="1134" w:leader="none"/>
              </w:tabs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2F1D03"/>
                <w:spacing w:val="0"/>
                <w:kern w:val="0"/>
                <w:sz w:val="20"/>
                <w:szCs w:val="20"/>
              </w:rPr>
              <w:t>Срок оказания услуги - 30 календарных дней</w:t>
            </w:r>
          </w:p>
        </w:tc>
      </w:tr>
      <w:tr>
        <w:trPr>
          <w:trHeight w:val="159" w:hRule="atLeast"/>
        </w:trPr>
        <w:tc>
          <w:tcPr>
            <w:tcW w:w="10606" w:type="dxa"/>
            <w:gridSpan w:val="8"/>
            <w:tcBorders/>
            <w:shd w:fill="FBE4D5" w:val="clear"/>
            <w:vAlign w:val="center"/>
          </w:tcPr>
          <w:p>
            <w:pPr>
              <w:pStyle w:val="Normal"/>
              <w:suppressAutoHyphens w:val="true"/>
              <w:ind w:hanging="0" w:left="0" w:right="0"/>
              <w:jc w:val="center"/>
              <w:rPr>
                <w:rFonts w:ascii="Arial" w:hAnsi="Arial"/>
                <w:b/>
                <w:color w:val="993300"/>
              </w:rPr>
            </w:pPr>
            <w:r>
              <w:rPr>
                <w:rFonts w:ascii="Arial" w:hAnsi="Arial"/>
                <w:b/>
                <w:color w:val="993300"/>
                <w:sz w:val="20"/>
              </w:rPr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* Перечень муниципальных услуг может отличаться в зависимости от действующих соглашений о взаимодействии в МФЦ муниципальных образований.</w:t>
            </w:r>
          </w:p>
        </w:tc>
      </w:tr>
      <w:tr>
        <w:trPr>
          <w:trHeight w:val="309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Негосударственные услуги</w:t>
            </w:r>
          </w:p>
        </w:tc>
      </w:tr>
      <w:tr>
        <w:trPr>
          <w:trHeight w:val="576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  <w:sz w:val="20"/>
              </w:rPr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Корпорация МСП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Услуга по информированию о Цифровой платформе МСП.РФ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оказания услуги – 1 рабочий день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</w:tc>
      </w:tr>
      <w:tr>
        <w:trPr>
          <w:trHeight w:val="417" w:hRule="atLeast"/>
        </w:trPr>
        <w:tc>
          <w:tcPr>
            <w:tcW w:w="10606" w:type="dxa"/>
            <w:gridSpan w:val="8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ОАО «ИнфоТеКС Интернет Траст»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(Очная идентификация пользователей для получения сертификата усиленной квалифицированной электронной подписи в мобильном приложении «Госключ»)</w:t>
            </w:r>
          </w:p>
        </w:tc>
      </w:tr>
      <w:tr>
        <w:trPr>
          <w:trHeight w:val="417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Уполномоченный по защите прав предпринимателей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АНО «РРАПП»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color w:val="000000"/>
              </w:rPr>
            </w:pPr>
            <w:r>
              <w:rPr>
                <w:color w:val="000000"/>
                <w:sz w:val="20"/>
              </w:rPr>
            </w:r>
          </w:p>
        </w:tc>
      </w:tr>
      <w:tr>
        <w:trPr>
          <w:trHeight w:val="405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Услуги публичного акционерного общества «Россети Юг»</w:t>
            </w:r>
          </w:p>
        </w:tc>
      </w:tr>
      <w:tr>
        <w:trPr>
          <w:trHeight w:val="375" w:hRule="atLeast"/>
        </w:trPr>
        <w:tc>
          <w:tcPr>
            <w:tcW w:w="10606" w:type="dxa"/>
            <w:gridSpan w:val="8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Услуги открытого акционерного общества «Донэнерго»</w:t>
            </w:r>
          </w:p>
        </w:tc>
      </w:tr>
      <w:tr>
        <w:trPr>
          <w:trHeight w:val="461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Услуги союза «Торгово-промышленная палата Ростовской области»</w:t>
            </w:r>
          </w:p>
        </w:tc>
      </w:tr>
      <w:tr>
        <w:trPr>
          <w:trHeight w:val="663" w:hRule="atLeast"/>
        </w:trPr>
        <w:tc>
          <w:tcPr>
            <w:tcW w:w="10606" w:type="dxa"/>
            <w:gridSpan w:val="8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Услуги союза «Некоммерческого партнерства «Единый региональный центр инновационного развития Ростовской области»</w:t>
            </w:r>
          </w:p>
        </w:tc>
      </w:tr>
      <w:tr>
        <w:trPr>
          <w:trHeight w:val="430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Услуги открытого акционерного общества «Региональная корпорация развития»</w:t>
            </w:r>
          </w:p>
        </w:tc>
      </w:tr>
      <w:tr>
        <w:trPr>
          <w:trHeight w:val="848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Услуги автономной некоммерческой организации «Центр координации поддержки экспортоориениторванных субъектов малого и среднего предпринимательства Ростовской области»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ПАО «Газпром газораспределение Ростов-на-Дону»</w:t>
            </w:r>
          </w:p>
        </w:tc>
      </w:tr>
      <w:tr>
        <w:trPr>
          <w:trHeight w:val="848" w:hRule="atLeast"/>
        </w:trPr>
        <w:tc>
          <w:tcPr>
            <w:tcW w:w="3752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Приема от заявителей заявок о заключении договора о подключении в рамках догазификации</w:t>
            </w:r>
          </w:p>
        </w:tc>
        <w:tc>
          <w:tcPr>
            <w:tcW w:w="3124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оказания услуги определяется действующим законодательством Российской Федерации</w:t>
            </w:r>
          </w:p>
        </w:tc>
      </w:tr>
      <w:tr>
        <w:trPr>
          <w:trHeight w:val="381" w:hRule="atLeast"/>
        </w:trPr>
        <w:tc>
          <w:tcPr>
            <w:tcW w:w="10606" w:type="dxa"/>
            <w:gridSpan w:val="8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Услуги по приему документов на выполнение кадастровых работ, в целях осуществления государственного кадастрового учета объектов недвижимости*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b/>
                <w:color w:val="993300"/>
              </w:rPr>
            </w:pPr>
            <w:r>
              <w:rPr>
                <w:rFonts w:ascii="Arial" w:hAnsi="Arial"/>
                <w:b/>
                <w:color w:val="993300"/>
                <w:sz w:val="20"/>
              </w:rPr>
            </w:r>
          </w:p>
        </w:tc>
      </w:tr>
      <w:tr>
        <w:trPr>
          <w:trHeight w:val="381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Услуги по переводу документов с иностранного языка на русский*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b/>
                <w:color w:val="993300"/>
              </w:rPr>
            </w:pPr>
            <w:r>
              <w:rPr>
                <w:rFonts w:ascii="Arial" w:hAnsi="Arial"/>
                <w:b/>
                <w:color w:val="993300"/>
                <w:sz w:val="20"/>
              </w:rPr>
            </w:r>
          </w:p>
        </w:tc>
      </w:tr>
      <w:tr>
        <w:trPr>
          <w:trHeight w:val="381" w:hRule="atLeast"/>
        </w:trPr>
        <w:tc>
          <w:tcPr>
            <w:tcW w:w="10606" w:type="dxa"/>
            <w:gridSpan w:val="8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Услуги по регистрации банковских счетов и другие агентские услуги*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b/>
                <w:color w:val="993300"/>
              </w:rPr>
            </w:pPr>
            <w:r>
              <w:rPr>
                <w:rFonts w:ascii="Arial" w:hAnsi="Arial"/>
                <w:b/>
                <w:color w:val="993300"/>
                <w:sz w:val="20"/>
              </w:rPr>
            </w:r>
          </w:p>
        </w:tc>
      </w:tr>
      <w:tr>
        <w:trPr>
          <w:trHeight w:val="381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Услуги некоммерческой организацией «Гарантийный фонд Ростовской области»*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b/>
                <w:color w:val="993300"/>
              </w:rPr>
            </w:pPr>
            <w:r>
              <w:rPr>
                <w:rFonts w:ascii="Arial" w:hAnsi="Arial"/>
                <w:b/>
                <w:color w:val="993300"/>
                <w:sz w:val="20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both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* Перечень негосударственных услуг может отличаться в зависимости от действующих соглашений о взаимодействии в МФЦ муниципальных образований.</w:t>
            </w:r>
          </w:p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color w:val="000000"/>
                <w:sz w:val="21"/>
              </w:rPr>
            </w:pPr>
            <w:r>
              <w:rPr>
                <w:rFonts w:ascii="Arial" w:hAnsi="Arial"/>
                <w:color w:val="000000"/>
                <w:sz w:val="21"/>
              </w:rPr>
            </w:r>
          </w:p>
        </w:tc>
      </w:tr>
      <w:tr>
        <w:trPr>
          <w:trHeight w:val="381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Услуги, доступные к оформлению для участников СВО и членов их семей в рамках приема комплексного запроса</w:t>
            </w:r>
          </w:p>
          <w:tbl>
            <w:tblPr>
              <w:tblStyle w:val="Style_2"/>
              <w:tblW w:w="5000" w:type="pct"/>
              <w:jc w:val="left"/>
              <w:tblInd w:w="108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734"/>
              <w:gridCol w:w="3264"/>
              <w:gridCol w:w="3393"/>
            </w:tblGrid>
            <w:tr>
              <w:trPr>
                <w:trHeight w:val="315" w:hRule="atLeast"/>
              </w:trPr>
              <w:tc>
                <w:tcPr>
                  <w:tcW w:w="3734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uppressAutoHyphens w:val="true"/>
                    <w:spacing w:before="0" w:after="160"/>
                    <w:ind w:hanging="0" w:left="0" w:right="0"/>
                    <w:jc w:val="left"/>
                    <w:rPr>
                      <w:spacing w:val="0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color w:val="623B2A"/>
                      <w:spacing w:val="0"/>
                      <w:kern w:val="0"/>
                      <w:sz w:val="21"/>
                      <w:szCs w:val="20"/>
                    </w:rPr>
                    <w:t>Предоставление компенсации расходов на оплату жилого помещения и коммунальных услуг, в том числе взноса на капитальный ремонт общего имущества в многоквартирном доме в размере 50 процентов в соответствии с Областным законом Ростовской области от 28.11.2023 № 45-ЗС «О социальной поддержке членов семей лиц, принимающих участие в специальной военной операции»</w:t>
                  </w:r>
                </w:p>
              </w:tc>
              <w:tc>
                <w:tcPr>
                  <w:tcW w:w="3264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uppressAutoHyphens w:val="true"/>
                    <w:spacing w:before="0" w:after="160"/>
                    <w:ind w:hanging="0" w:left="0" w:right="0"/>
                    <w:jc w:val="center"/>
                    <w:rPr>
                      <w:spacing w:val="0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color w:val="623B2A"/>
                      <w:spacing w:val="0"/>
                      <w:kern w:val="0"/>
                      <w:sz w:val="21"/>
                      <w:szCs w:val="20"/>
                    </w:rPr>
                    <w:t>бесплатно</w:t>
                  </w:r>
                </w:p>
              </w:tc>
              <w:tc>
                <w:tcPr>
                  <w:tcW w:w="3393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uppressAutoHyphens w:val="true"/>
                    <w:spacing w:lineRule="auto" w:line="240" w:before="0" w:after="0"/>
                    <w:ind w:hanging="0" w:left="0" w:right="0"/>
                    <w:jc w:val="left"/>
                    <w:rPr>
                      <w:spacing w:val="0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color w:val="623B2A"/>
                      <w:spacing w:val="0"/>
                      <w:kern w:val="0"/>
                      <w:sz w:val="21"/>
                      <w:szCs w:val="20"/>
                    </w:rPr>
                    <w:t>передача документов из МФЦ в Орган – 1 рабочий день (следующий за днем приема)</w:t>
                  </w:r>
                </w:p>
                <w:p>
                  <w:pPr>
                    <w:pStyle w:val="Normal"/>
                    <w:suppressAutoHyphens w:val="true"/>
                    <w:spacing w:before="0" w:after="160"/>
                    <w:ind w:hanging="0" w:left="0" w:right="0"/>
                    <w:jc w:val="left"/>
                    <w:rPr>
                      <w:rFonts w:ascii="Arial" w:hAnsi="Arial"/>
                      <w:color w:val="623B2A"/>
                      <w:sz w:val="21"/>
                    </w:rPr>
                  </w:pPr>
                  <w:r>
                    <w:rPr>
                      <w:rFonts w:ascii="Arial" w:hAnsi="Arial"/>
                      <w:color w:val="623B2A"/>
                      <w:sz w:val="21"/>
                    </w:rPr>
                  </w:r>
                </w:p>
              </w:tc>
            </w:tr>
            <w:tr>
              <w:trPr>
                <w:trHeight w:val="315" w:hRule="atLeast"/>
              </w:trPr>
              <w:tc>
                <w:tcPr>
                  <w:tcW w:w="3734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uppressAutoHyphens w:val="true"/>
                    <w:spacing w:before="0" w:after="160"/>
                    <w:ind w:hanging="0" w:left="0" w:right="0"/>
                    <w:jc w:val="left"/>
                    <w:rPr>
                      <w:spacing w:val="0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color w:val="623B2A"/>
                      <w:spacing w:val="0"/>
                      <w:kern w:val="0"/>
                      <w:sz w:val="21"/>
                      <w:szCs w:val="20"/>
                    </w:rPr>
                    <w:t>Прием заявлений о субсидировании процентной ставки по жилищному кредиту от участников специальной военной операции и членов их семей</w:t>
                  </w:r>
                </w:p>
              </w:tc>
              <w:tc>
                <w:tcPr>
                  <w:tcW w:w="3264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uppressAutoHyphens w:val="true"/>
                    <w:spacing w:before="0" w:after="160"/>
                    <w:ind w:hanging="0" w:left="0" w:right="0"/>
                    <w:jc w:val="center"/>
                    <w:rPr>
                      <w:spacing w:val="0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color w:val="623B2A"/>
                      <w:spacing w:val="0"/>
                      <w:kern w:val="0"/>
                      <w:sz w:val="21"/>
                      <w:szCs w:val="20"/>
                    </w:rPr>
                    <w:t>бесплатно</w:t>
                  </w:r>
                </w:p>
              </w:tc>
              <w:tc>
                <w:tcPr>
                  <w:tcW w:w="3393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uppressAutoHyphens w:val="true"/>
                    <w:spacing w:lineRule="auto" w:line="240" w:before="0" w:after="0"/>
                    <w:ind w:hanging="0" w:left="0" w:right="0"/>
                    <w:jc w:val="left"/>
                    <w:rPr>
                      <w:spacing w:val="0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color w:val="623B2A"/>
                      <w:spacing w:val="0"/>
                      <w:kern w:val="0"/>
                      <w:sz w:val="21"/>
                      <w:szCs w:val="20"/>
                    </w:rPr>
                    <w:t>1) передача документов из МФЦ в орган – 1 рабочий день (следующий за днем приема)</w:t>
                  </w:r>
                </w:p>
                <w:p>
                  <w:pPr>
                    <w:pStyle w:val="Normal"/>
                    <w:suppressAutoHyphens w:val="true"/>
                    <w:spacing w:before="0" w:after="160"/>
                    <w:ind w:hanging="0" w:left="0" w:right="0"/>
                    <w:jc w:val="left"/>
                    <w:rPr>
                      <w:spacing w:val="0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color w:val="623B2A"/>
                      <w:spacing w:val="0"/>
                      <w:kern w:val="0"/>
                      <w:sz w:val="21"/>
                      <w:szCs w:val="20"/>
                    </w:rPr>
                    <w:t>2) принятие решения органом – в течение 3 рабочих дней поступает уведомление от органа</w:t>
                  </w:r>
                </w:p>
              </w:tc>
            </w:tr>
            <w:tr>
              <w:trPr>
                <w:trHeight w:val="315" w:hRule="atLeast"/>
              </w:trPr>
              <w:tc>
                <w:tcPr>
                  <w:tcW w:w="3734" w:type="dxa"/>
                  <w:tcBorders/>
                  <w:shd w:fill="FBE4D5" w:val="clear"/>
                  <w:vAlign w:val="center"/>
                </w:tcPr>
                <w:p>
                  <w:pPr>
                    <w:pStyle w:val="Normal"/>
                    <w:suppressAutoHyphens w:val="true"/>
                    <w:spacing w:before="0" w:after="160"/>
                    <w:ind w:hanging="0" w:left="0" w:right="0"/>
                    <w:jc w:val="left"/>
                    <w:rPr>
                      <w:spacing w:val="0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color w:val="623B2A"/>
                      <w:spacing w:val="0"/>
                      <w:kern w:val="0"/>
                      <w:sz w:val="21"/>
                      <w:szCs w:val="20"/>
                    </w:rPr>
                    <w:t>Реструктуризация задолженности по действующим договорам микрозайма заемщикам, призванных на военную службу по мобилизации в Вооруженные Силы Российской Федерации, а также заемщиков, заключивших контракт о добровольном содействии в выполнении задач, возложенных на Вооруженные Силы Российской Федерации</w:t>
                  </w:r>
                </w:p>
              </w:tc>
              <w:tc>
                <w:tcPr>
                  <w:tcW w:w="3264" w:type="dxa"/>
                  <w:tcBorders/>
                  <w:shd w:fill="FBE4D5" w:val="clear"/>
                  <w:vAlign w:val="center"/>
                </w:tcPr>
                <w:p>
                  <w:pPr>
                    <w:pStyle w:val="Normal"/>
                    <w:suppressAutoHyphens w:val="true"/>
                    <w:spacing w:before="0" w:after="160"/>
                    <w:ind w:hanging="0" w:left="0" w:right="0"/>
                    <w:jc w:val="center"/>
                    <w:rPr>
                      <w:spacing w:val="0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color w:val="623B2A"/>
                      <w:spacing w:val="0"/>
                      <w:kern w:val="0"/>
                      <w:sz w:val="21"/>
                      <w:szCs w:val="20"/>
                    </w:rPr>
                    <w:t>бесплатно</w:t>
                  </w:r>
                </w:p>
              </w:tc>
              <w:tc>
                <w:tcPr>
                  <w:tcW w:w="3393" w:type="dxa"/>
                  <w:tcBorders/>
                  <w:shd w:fill="FBE4D5" w:val="clear"/>
                  <w:vAlign w:val="center"/>
                </w:tcPr>
                <w:p>
                  <w:pPr>
                    <w:pStyle w:val="Normal"/>
                    <w:suppressAutoHyphens w:val="true"/>
                    <w:spacing w:lineRule="auto" w:line="240" w:before="0" w:after="0"/>
                    <w:ind w:hanging="0" w:left="0" w:right="0"/>
                    <w:jc w:val="left"/>
                    <w:rPr>
                      <w:spacing w:val="0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color w:val="623B2A"/>
                      <w:spacing w:val="0"/>
                      <w:kern w:val="0"/>
                      <w:sz w:val="21"/>
                      <w:szCs w:val="20"/>
                    </w:rPr>
                    <w:t>передача документов из МФЦ в Орган – 1 рабочий день (следующий за днем приема)</w:t>
                  </w:r>
                </w:p>
              </w:tc>
            </w:tr>
            <w:tr>
              <w:trPr>
                <w:trHeight w:val="315" w:hRule="atLeast"/>
              </w:trPr>
              <w:tc>
                <w:tcPr>
                  <w:tcW w:w="3734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uppressAutoHyphens w:val="true"/>
                    <w:spacing w:before="0" w:after="160"/>
                    <w:ind w:hanging="0" w:left="0" w:right="0"/>
                    <w:jc w:val="left"/>
                    <w:rPr>
                      <w:spacing w:val="0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color w:val="623B2A"/>
                      <w:spacing w:val="0"/>
                      <w:kern w:val="0"/>
                      <w:sz w:val="21"/>
                      <w:szCs w:val="20"/>
                    </w:rPr>
                    <w:t>Прием заявлений по установлению ежемесячной денежной выплаты отдельным категориям граждан (участникам СВО и членам семьи) в Российской Федерации</w:t>
                  </w:r>
                </w:p>
              </w:tc>
              <w:tc>
                <w:tcPr>
                  <w:tcW w:w="3264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uppressAutoHyphens w:val="true"/>
                    <w:spacing w:before="0" w:after="160"/>
                    <w:ind w:hanging="0" w:left="0" w:right="0"/>
                    <w:jc w:val="center"/>
                    <w:rPr>
                      <w:spacing w:val="0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color w:val="623B2A"/>
                      <w:spacing w:val="0"/>
                      <w:kern w:val="0"/>
                      <w:sz w:val="21"/>
                      <w:szCs w:val="20"/>
                    </w:rPr>
                    <w:t>бесплатно</w:t>
                  </w:r>
                </w:p>
              </w:tc>
              <w:tc>
                <w:tcPr>
                  <w:tcW w:w="3393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uppressAutoHyphens w:val="true"/>
                    <w:spacing w:before="0" w:after="160"/>
                    <w:ind w:hanging="0" w:left="0" w:right="0"/>
                    <w:jc w:val="left"/>
                    <w:rPr>
                      <w:spacing w:val="0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color w:val="623B2A"/>
                      <w:spacing w:val="0"/>
                      <w:kern w:val="0"/>
                      <w:sz w:val="21"/>
                      <w:szCs w:val="20"/>
                    </w:rPr>
                    <w:t>передача документов из МФЦ в Орган – 1 рабочий день (следующий за днем приема)</w:t>
                  </w:r>
                </w:p>
              </w:tc>
            </w:tr>
            <w:tr>
              <w:trPr>
                <w:trHeight w:val="315" w:hRule="atLeast"/>
              </w:trPr>
              <w:tc>
                <w:tcPr>
                  <w:tcW w:w="3734" w:type="dxa"/>
                  <w:tcBorders/>
                  <w:shd w:fill="FBE4D5" w:val="clear"/>
                  <w:vAlign w:val="center"/>
                </w:tcPr>
                <w:p>
                  <w:pPr>
                    <w:pStyle w:val="Normal"/>
                    <w:suppressAutoHyphens w:val="true"/>
                    <w:spacing w:before="0" w:after="160"/>
                    <w:ind w:hanging="0" w:left="0" w:right="0"/>
                    <w:jc w:val="left"/>
                    <w:rPr>
                      <w:spacing w:val="0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color w:val="623B2A"/>
                      <w:spacing w:val="0"/>
                      <w:kern w:val="0"/>
                      <w:sz w:val="21"/>
                      <w:szCs w:val="20"/>
                    </w:rPr>
                    <w:t>Предоставление государственной услуги гражданам, имеющим право на получение государственной социальной помощи в виде набора социальных услуг, государственной услуги по предоставлению при наличии медицинских показаний путевок на санаторно-курортное лечение, осуществляемое в целях профилактики основных заболеваний, и бесплатного проезда на междугородном транспорте к месту лечения и обратно</w:t>
                  </w:r>
                </w:p>
              </w:tc>
              <w:tc>
                <w:tcPr>
                  <w:tcW w:w="3264" w:type="dxa"/>
                  <w:tcBorders/>
                  <w:shd w:fill="FBE4D5" w:val="clear"/>
                  <w:vAlign w:val="center"/>
                </w:tcPr>
                <w:p>
                  <w:pPr>
                    <w:pStyle w:val="Normal"/>
                    <w:suppressAutoHyphens w:val="true"/>
                    <w:spacing w:before="0" w:after="160"/>
                    <w:ind w:hanging="0" w:left="0" w:right="0"/>
                    <w:jc w:val="center"/>
                    <w:rPr>
                      <w:spacing w:val="0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color w:val="623B2A"/>
                      <w:spacing w:val="0"/>
                      <w:kern w:val="0"/>
                      <w:sz w:val="21"/>
                      <w:szCs w:val="20"/>
                    </w:rPr>
                    <w:t>бесплатно</w:t>
                  </w:r>
                </w:p>
              </w:tc>
              <w:tc>
                <w:tcPr>
                  <w:tcW w:w="3393" w:type="dxa"/>
                  <w:tcBorders/>
                  <w:shd w:fill="FBE4D5" w:val="clear"/>
                  <w:vAlign w:val="center"/>
                </w:tcPr>
                <w:p>
                  <w:pPr>
                    <w:pStyle w:val="Normal"/>
                    <w:suppressAutoHyphens w:val="true"/>
                    <w:spacing w:before="0" w:after="160"/>
                    <w:ind w:hanging="0" w:left="0" w:right="0"/>
                    <w:jc w:val="left"/>
                    <w:rPr>
                      <w:spacing w:val="0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color w:val="623B2A"/>
                      <w:spacing w:val="0"/>
                      <w:kern w:val="0"/>
                      <w:sz w:val="21"/>
                      <w:szCs w:val="20"/>
                    </w:rPr>
                    <w:t>передача документов из МФЦ в Орган – 1 рабочий день (следующий за днем приема)</w:t>
                  </w:r>
                </w:p>
              </w:tc>
            </w:tr>
          </w:tbl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b/>
                <w:color w:val="993300"/>
              </w:rPr>
            </w:pPr>
            <w:r>
              <w:rPr>
                <w:rFonts w:ascii="Arial" w:hAnsi="Arial"/>
                <w:b/>
                <w:color w:val="993300"/>
                <w:sz w:val="20"/>
              </w:rPr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</w:r>
          </w:p>
        </w:tc>
        <w:tc>
          <w:tcPr>
            <w:tcW w:w="3124" w:type="dxa"/>
            <w:gridSpan w:val="2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b/>
                <w:color w:val="993300"/>
                <w:spacing w:val="0"/>
                <w:kern w:val="0"/>
                <w:sz w:val="20"/>
                <w:szCs w:val="20"/>
              </w:rPr>
              <w:t>Прочие услуги и сервисы</w:t>
            </w:r>
          </w:p>
        </w:tc>
        <w:tc>
          <w:tcPr>
            <w:tcW w:w="3730" w:type="dxa"/>
            <w:gridSpan w:val="4"/>
            <w:tcBorders/>
            <w:shd w:fill="F5EAE0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jc w:val="left"/>
              <w:rPr>
                <w:rFonts w:ascii="Arial" w:hAnsi="Arial"/>
                <w:b/>
                <w:color w:val="993300"/>
              </w:rPr>
            </w:pPr>
            <w:r>
              <w:rPr>
                <w:rFonts w:ascii="Arial" w:hAnsi="Arial"/>
                <w:b/>
                <w:color w:val="993300"/>
                <w:sz w:val="20"/>
              </w:rPr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Осуществление процедуры внесудебного банкротства гражданина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день обращения. Процедура внесудебного банкротства завершается по истечении шести месяцев со дня включения сведений о возбуждении процедуры внесудебного банкротства гражданина в Единый федеральный реестр сведений о банкротстве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Направление (получение) документов в электронном виде, в том числе в форме электронного документа, в Ростовский областной суд, районные (городские) суды Ростовской области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Регистрация граждан в ЕСИА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Распечатывание Сертификата о вакцинации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Организация реализации проекта «Лица Победы»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день обращения. Информация, направленная на сайт проекта «Лица Победы» обрабатывается в течении нескольких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Получение результатов оказания услуги от Единого портала государственных и муниципальных услуг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Оцифровка документов в электронный вид и отправка на Единый портал государственных и муниципальных услуг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Подача заявки на проведение онлайн-консультации в рамках проекта «МФЦ – общественные приемные органов власти и организаций»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  <w:highlight w:val="white"/>
              </w:rPr>
              <w:t>Отказ от сбора и размещения биометрических персональных данных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 календарный день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  <w:highlight w:val="white"/>
              </w:rPr>
              <w:t>Отзыв отказа от сбора и размещения биометрических персональных данных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 календарный день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  <w:highlight w:val="white"/>
              </w:rPr>
              <w:t>Информирование о статусе отказа ФЛ от сбора биометрии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  <w:highlight w:val="white"/>
              </w:rPr>
              <w:t>Выдача справки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выдаваемая члену семьи участника специальной военной операции по линии Министерства обороны Российской Федерации.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выдачи справки – в течение 4 рабочих дней, начиная с рабочего дня, следующего за днем подачи заявителем заявления, в случае дополнительных проверок со стороны ВСЦ срок может быть продлен не более чем на 30 календарных дней</w:t>
            </w:r>
          </w:p>
        </w:tc>
      </w:tr>
      <w:tr>
        <w:trPr>
          <w:trHeight w:val="315" w:hRule="atLeast"/>
        </w:trPr>
        <w:tc>
          <w:tcPr>
            <w:tcW w:w="3752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  <w:highlight w:val="white"/>
              </w:rPr>
              <w:t>Выдача справки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выдаваемая участнику специальной военной операции по линии Министерства обороны Российской Федерации</w:t>
            </w:r>
          </w:p>
        </w:tc>
        <w:tc>
          <w:tcPr>
            <w:tcW w:w="312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730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Срок выдачи справки – в течение 4 рабочих дней, начиная с рабочего дня, следующего за днем подачи заявителем заявления, в случае дополнительных проверок со стороны ВСЦ срок может быть продлен не более чем на 30 календарных дней</w:t>
            </w:r>
          </w:p>
        </w:tc>
      </w:tr>
      <w:tr>
        <w:trPr>
          <w:trHeight w:val="353" w:hRule="atLeast"/>
        </w:trPr>
        <w:tc>
          <w:tcPr>
            <w:tcW w:w="3835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  <w:highlight w:val="white"/>
              </w:rPr>
              <w:t>Комплексная помощь заявителям, пострадавшим от мошенничества и киберпреступлений</w:t>
            </w:r>
          </w:p>
          <w:p>
            <w:pPr>
              <w:pStyle w:val="Normal"/>
              <w:suppressAutoHyphens w:val="true"/>
              <w:spacing w:before="0" w:after="160"/>
              <w:ind w:hanging="0" w:left="-113" w:right="0"/>
              <w:jc w:val="left"/>
              <w:rPr>
                <w:rFonts w:ascii="Arial" w:hAnsi="Arial"/>
                <w:color w:val="623B2A"/>
                <w:sz w:val="21"/>
                <w:highlight w:val="white"/>
              </w:rPr>
            </w:pPr>
            <w:r>
              <w:rPr>
                <w:rFonts w:ascii="Arial" w:hAnsi="Arial"/>
                <w:color w:val="623B2A"/>
                <w:sz w:val="21"/>
                <w:highlight w:val="white"/>
              </w:rPr>
            </w:r>
          </w:p>
        </w:tc>
        <w:tc>
          <w:tcPr>
            <w:tcW w:w="3177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411" w:type="dxa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в день обращения</w:t>
            </w:r>
          </w:p>
        </w:tc>
        <w:tc>
          <w:tcPr>
            <w:tcW w:w="183" w:type="dxa"/>
            <w:tcBorders/>
            <w:shd w:fill="auto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</w:tc>
      </w:tr>
      <w:tr>
        <w:trPr>
          <w:trHeight w:val="353" w:hRule="atLeast"/>
        </w:trPr>
        <w:tc>
          <w:tcPr>
            <w:tcW w:w="3835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  <w:highlight w:val="white"/>
              </w:rPr>
              <w:t>Услуга по внесению в кредитную историю сведений о запрете (снятии запрета) на заключение договоров потребительского займа (кредита)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rFonts w:ascii="Arial" w:hAnsi="Arial"/>
                <w:color w:val="623B2A"/>
                <w:sz w:val="21"/>
                <w:highlight w:val="white"/>
              </w:rPr>
            </w:pPr>
            <w:r>
              <w:rPr>
                <w:rFonts w:ascii="Arial" w:hAnsi="Arial"/>
                <w:color w:val="623B2A"/>
                <w:sz w:val="21"/>
                <w:highlight w:val="white"/>
              </w:rPr>
            </w:r>
          </w:p>
        </w:tc>
        <w:tc>
          <w:tcPr>
            <w:tcW w:w="3177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411" w:type="dxa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3 рабочих дня</w:t>
            </w:r>
          </w:p>
        </w:tc>
        <w:tc>
          <w:tcPr>
            <w:tcW w:w="183" w:type="dxa"/>
            <w:tcBorders/>
            <w:shd w:fill="auto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</w:tc>
      </w:tr>
      <w:tr>
        <w:trPr>
          <w:trHeight w:val="353" w:hRule="atLeast"/>
        </w:trPr>
        <w:tc>
          <w:tcPr>
            <w:tcW w:w="3835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  <w:highlight w:val="white"/>
              </w:rPr>
              <w:t>Услуга по предоставлению сведений о запрете (снятии запрета) на заключение договоров потребительского займа (кредита)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rFonts w:ascii="Arial" w:hAnsi="Arial"/>
                <w:color w:val="623B2A"/>
                <w:sz w:val="21"/>
                <w:highlight w:val="white"/>
              </w:rPr>
            </w:pPr>
            <w:r>
              <w:rPr>
                <w:rFonts w:ascii="Arial" w:hAnsi="Arial"/>
                <w:color w:val="623B2A"/>
                <w:sz w:val="21"/>
                <w:highlight w:val="white"/>
              </w:rPr>
            </w:r>
          </w:p>
        </w:tc>
        <w:tc>
          <w:tcPr>
            <w:tcW w:w="3177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411" w:type="dxa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3 рабочих дня</w:t>
            </w:r>
          </w:p>
        </w:tc>
        <w:tc>
          <w:tcPr>
            <w:tcW w:w="183" w:type="dxa"/>
            <w:tcBorders/>
            <w:shd w:fill="auto" w:val="clea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z w:val="21"/>
              </w:rPr>
            </w:r>
          </w:p>
        </w:tc>
      </w:tr>
      <w:tr>
        <w:trPr>
          <w:trHeight w:val="353" w:hRule="atLeast"/>
        </w:trPr>
        <w:tc>
          <w:tcPr>
            <w:tcW w:w="3835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ind w:hanging="0" w:left="0" w:right="0"/>
              <w:jc w:val="left"/>
              <w:rPr>
                <w:rFonts w:ascii="Arial" w:hAnsi="Arial"/>
                <w:i w:val="false"/>
                <w:i w:val="false"/>
                <w:color w:val="773F0F"/>
                <w:sz w:val="22"/>
              </w:rPr>
            </w:pPr>
            <w:r>
              <w:rPr>
                <w:rFonts w:ascii="Arial" w:hAnsi="Arial"/>
                <w:i w:val="false"/>
                <w:color w:val="773F0F"/>
                <w:spacing w:val="0"/>
                <w:kern w:val="0"/>
                <w:sz w:val="22"/>
                <w:szCs w:val="20"/>
              </w:rPr>
              <w:t>Прием заявлений от участников СВО по обжалованию отказов в выдаче справки, подтверждающей участие в специальной военной операции по линии Министерства обороны</w:t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rFonts w:ascii="Arial" w:hAnsi="Arial"/>
                <w:i w:val="false"/>
                <w:i w:val="false"/>
                <w:color w:val="773F0F"/>
                <w:sz w:val="22"/>
              </w:rPr>
            </w:pPr>
            <w:r>
              <w:rPr>
                <w:rFonts w:ascii="Arial" w:hAnsi="Arial"/>
                <w:i w:val="false"/>
                <w:color w:val="773F0F"/>
                <w:sz w:val="22"/>
              </w:rPr>
            </w:r>
          </w:p>
        </w:tc>
        <w:tc>
          <w:tcPr>
            <w:tcW w:w="3177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59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15 календарных дней</w:t>
            </w:r>
          </w:p>
        </w:tc>
      </w:tr>
      <w:tr>
        <w:trPr>
          <w:trHeight w:val="1488" w:hRule="atLeast"/>
        </w:trPr>
        <w:tc>
          <w:tcPr>
            <w:tcW w:w="3835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rFonts w:ascii="Arial" w:hAnsi="Arial"/>
                <w:color w:val="773F0F"/>
              </w:rPr>
            </w:pPr>
            <w:r>
              <w:rPr>
                <w:rFonts w:ascii="Arial" w:hAnsi="Arial"/>
                <w:color w:val="773F0F"/>
                <w:spacing w:val="0"/>
                <w:kern w:val="0"/>
                <w:sz w:val="20"/>
                <w:szCs w:val="20"/>
              </w:rPr>
              <w:t>Прием заявлений от членов семей участников СВО по обжалованию отказов в выдаче справки, подтверждающей участие в специальной военной операции по линии Министерства обороны Российской Федерации</w:t>
            </w:r>
          </w:p>
        </w:tc>
        <w:tc>
          <w:tcPr>
            <w:tcW w:w="3177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бесплатно</w:t>
            </w:r>
          </w:p>
        </w:tc>
        <w:tc>
          <w:tcPr>
            <w:tcW w:w="359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rFonts w:ascii="Arial" w:hAnsi="Arial"/>
                <w:color w:val="623B2A"/>
                <w:sz w:val="21"/>
              </w:rPr>
            </w:pPr>
            <w:r>
              <w:rPr>
                <w:rFonts w:ascii="Arial" w:hAnsi="Arial"/>
                <w:color w:val="623B2A"/>
                <w:spacing w:val="0"/>
                <w:kern w:val="0"/>
                <w:sz w:val="21"/>
                <w:szCs w:val="20"/>
              </w:rPr>
              <w:t>15 календарных дней</w:t>
            </w:r>
          </w:p>
        </w:tc>
      </w:tr>
      <w:tr>
        <w:trPr>
          <w:trHeight w:val="744" w:hRule="atLeast"/>
        </w:trPr>
        <w:tc>
          <w:tcPr>
            <w:tcW w:w="10606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spacing w:val="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993300"/>
                <w:spacing w:val="0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color w:val="993300"/>
                <w:spacing w:val="0"/>
                <w:kern w:val="0"/>
                <w:sz w:val="20"/>
                <w:szCs w:val="20"/>
              </w:rPr>
              <w:t>Государственный Фонд поддержки участников специальной военной операции «Защитники Отечества»</w:t>
            </w:r>
          </w:p>
        </w:tc>
      </w:tr>
      <w:tr>
        <w:trPr>
          <w:trHeight w:val="376" w:hRule="atLeast"/>
        </w:trPr>
        <w:tc>
          <w:tcPr>
            <w:tcW w:w="3835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rFonts w:ascii="Arial" w:hAnsi="Arial"/>
                <w:color w:val="773F0F"/>
                <w:sz w:val="22"/>
              </w:rPr>
            </w:pPr>
            <w:r>
              <w:rPr>
                <w:rFonts w:ascii="Arial" w:hAnsi="Arial"/>
                <w:color w:val="773F0F"/>
                <w:spacing w:val="0"/>
                <w:kern w:val="0"/>
                <w:sz w:val="22"/>
                <w:szCs w:val="20"/>
              </w:rPr>
              <w:t>«Организация комплексного сопровождения отдельной категории лиц социальным координатором филиала Государственного Фонда поддержки участников специальной военной операции "Защитники Отечества" по Ростовской области»</w:t>
            </w:r>
          </w:p>
        </w:tc>
        <w:tc>
          <w:tcPr>
            <w:tcW w:w="3177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ind w:hanging="0" w:left="0" w:right="0"/>
              <w:jc w:val="center"/>
              <w:rPr>
                <w:rFonts w:ascii="Arial" w:hAnsi="Arial"/>
                <w:color w:val="773F0F"/>
                <w:sz w:val="22"/>
              </w:rPr>
            </w:pPr>
            <w:r>
              <w:rPr>
                <w:rFonts w:ascii="Arial" w:hAnsi="Arial"/>
                <w:color w:val="773F0F"/>
                <w:sz w:val="22"/>
              </w:rPr>
            </w:r>
          </w:p>
          <w:p>
            <w:pPr>
              <w:pStyle w:val="Normal"/>
              <w:suppressAutoHyphens w:val="true"/>
              <w:ind w:hanging="0" w:left="0" w:right="0"/>
              <w:jc w:val="center"/>
              <w:rPr>
                <w:rFonts w:ascii="Arial" w:hAnsi="Arial"/>
                <w:color w:val="773F0F"/>
                <w:sz w:val="22"/>
              </w:rPr>
            </w:pPr>
            <w:r>
              <w:rPr>
                <w:rFonts w:ascii="Arial" w:hAnsi="Arial"/>
                <w:color w:val="773F0F"/>
                <w:sz w:val="22"/>
              </w:rPr>
            </w:r>
          </w:p>
          <w:p>
            <w:pPr>
              <w:pStyle w:val="Normal"/>
              <w:suppressAutoHyphens w:val="true"/>
              <w:ind w:hanging="0" w:left="0" w:right="0"/>
              <w:jc w:val="center"/>
              <w:rPr>
                <w:rFonts w:ascii="Arial" w:hAnsi="Arial"/>
                <w:color w:val="773F0F"/>
                <w:sz w:val="22"/>
              </w:rPr>
            </w:pPr>
            <w:r>
              <w:rPr>
                <w:rFonts w:ascii="Arial" w:hAnsi="Arial"/>
                <w:color w:val="773F0F"/>
                <w:spacing w:val="0"/>
                <w:kern w:val="0"/>
                <w:sz w:val="22"/>
                <w:szCs w:val="20"/>
              </w:rPr>
              <w:t>бесплатно</w:t>
            </w:r>
          </w:p>
          <w:p>
            <w:pPr>
              <w:pStyle w:val="Normal"/>
              <w:suppressAutoHyphens w:val="true"/>
              <w:ind w:hanging="0" w:left="0" w:right="0"/>
              <w:jc w:val="center"/>
              <w:rPr>
                <w:rFonts w:ascii="Arial" w:hAnsi="Arial"/>
                <w:color w:val="773F0F"/>
                <w:sz w:val="22"/>
              </w:rPr>
            </w:pPr>
            <w:r>
              <w:rPr>
                <w:rFonts w:ascii="Arial" w:hAnsi="Arial"/>
                <w:color w:val="773F0F"/>
                <w:sz w:val="22"/>
              </w:rPr>
            </w:r>
          </w:p>
          <w:p>
            <w:pPr>
              <w:pStyle w:val="Normal"/>
              <w:suppressAutoHyphens w:val="true"/>
              <w:spacing w:before="0" w:after="160"/>
              <w:ind w:hanging="0" w:left="0" w:right="0"/>
              <w:jc w:val="center"/>
              <w:rPr>
                <w:rFonts w:ascii="Arial" w:hAnsi="Arial"/>
                <w:color w:val="773F0F"/>
                <w:sz w:val="22"/>
              </w:rPr>
            </w:pPr>
            <w:r>
              <w:rPr>
                <w:rFonts w:ascii="Arial" w:hAnsi="Arial"/>
                <w:color w:val="773F0F"/>
                <w:sz w:val="22"/>
              </w:rPr>
            </w:r>
          </w:p>
        </w:tc>
        <w:tc>
          <w:tcPr>
            <w:tcW w:w="359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160"/>
              <w:ind w:hanging="0" w:left="0" w:right="0"/>
              <w:jc w:val="left"/>
              <w:rPr>
                <w:rFonts w:ascii="Arial" w:hAnsi="Arial"/>
                <w:color w:val="773F0F"/>
                <w:sz w:val="22"/>
              </w:rPr>
            </w:pPr>
            <w:r>
              <w:rPr>
                <w:rFonts w:ascii="Arial" w:hAnsi="Arial"/>
                <w:color w:val="773F0F"/>
                <w:spacing w:val="0"/>
                <w:kern w:val="0"/>
                <w:sz w:val="22"/>
                <w:szCs w:val="20"/>
              </w:rPr>
              <w:t>10 рабочих дней</w:t>
            </w:r>
          </w:p>
        </w:tc>
      </w:tr>
    </w:tbl>
    <w:p>
      <w:pPr>
        <w:pStyle w:val="Normal"/>
        <w:spacing w:before="0" w:after="160"/>
        <w:ind w:hanging="0" w:left="0" w:right="7029"/>
        <w:rPr>
          <w:rFonts w:ascii="Arial" w:hAnsi="Arial"/>
          <w:color w:val="623B2A"/>
          <w:sz w:val="21"/>
          <w:highlight w:val="white"/>
        </w:rPr>
      </w:pPr>
      <w:r>
        <w:rPr>
          <w:rFonts w:ascii="Arial" w:hAnsi="Arial"/>
          <w:color w:val="623B2A"/>
          <w:sz w:val="21"/>
          <w:highlight w:val="white"/>
        </w:rPr>
      </w:r>
    </w:p>
    <w:sectPr>
      <w:headerReference w:type="default" r:id="rId4"/>
      <w:headerReference w:type="first" r:id="rId5"/>
      <w:footnotePr>
        <w:numFmt w:val="decimal"/>
      </w:footnotePr>
      <w:type w:val="nextPage"/>
      <w:pgSz w:w="11906" w:h="16838"/>
      <w:pgMar w:left="624" w:right="567" w:gutter="0" w:header="709" w:top="766" w:footer="0" w:bottom="284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XO Thame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Wingdings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NewRomanPSMT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Footnote1"/>
        <w:rPr/>
      </w:pPr>
      <w:r>
        <w:rPr>
          <w:rStyle w:val="Style10"/>
        </w:rPr>
        <w:footnoteRef/>
      </w:r>
      <w:r>
        <w:rPr/>
        <w:t xml:space="preserve"> </w:t>
      </w:r>
      <w:r>
        <w:rPr>
          <w:rFonts w:ascii="Arial" w:hAnsi="Arial"/>
          <w:color w:val="623B2A"/>
          <w:sz w:val="21"/>
        </w:rPr>
        <w:t>Предоставляется в МФЦ оснащенных ПТК «Криптобиокабина».</w:t>
      </w:r>
    </w:p>
  </w:footnote>
  <w:footnote w:id="3">
    <w:p>
      <w:pPr>
        <w:pStyle w:val="Footnote1"/>
        <w:rPr/>
      </w:pPr>
      <w:r>
        <w:rPr>
          <w:rStyle w:val="Style10"/>
        </w:rPr>
        <w:footnoteRef/>
      </w:r>
      <w:r>
        <w:rPr>
          <w:rFonts w:ascii="Arial" w:hAnsi="Arial"/>
        </w:rPr>
        <w:t>2</w:t>
      </w:r>
      <w:r>
        <w:rPr/>
        <w:t xml:space="preserve"> </w:t>
      </w:r>
      <w:r>
        <w:rPr>
          <w:rFonts w:ascii="Arial" w:hAnsi="Arial"/>
          <w:color w:val="623B2A"/>
          <w:sz w:val="21"/>
        </w:rPr>
        <w:t>Предоставляется только в МФЦ г. Шахты</w:t>
      </w:r>
    </w:p>
  </w:footnote>
  <w:footnote w:id="4">
    <w:p>
      <w:pPr>
        <w:pStyle w:val="Footnote1"/>
        <w:rPr/>
      </w:pPr>
      <w:r>
        <w:rPr>
          <w:rStyle w:val="Style10"/>
        </w:rPr>
        <w:footnoteRef/>
      </w:r>
      <w:r>
        <w:rPr>
          <w:rFonts w:ascii="Arial" w:hAnsi="Arial"/>
        </w:rPr>
        <w:t>3</w:t>
      </w:r>
      <w:r>
        <w:rPr>
          <w:rFonts w:ascii="Arial" w:hAnsi="Arial"/>
          <w:color w:val="623B2A"/>
          <w:sz w:val="21"/>
        </w:rPr>
        <w:t xml:space="preserve"> Прием заявлений предоставляется только в МФЦ Мясниковского района Ростовской области</w:t>
      </w:r>
    </w:p>
  </w:footnote>
  <w:footnote w:id="5">
    <w:p>
      <w:pPr>
        <w:pStyle w:val="Footnote1"/>
        <w:rPr/>
      </w:pPr>
      <w:r>
        <w:rPr>
          <w:rStyle w:val="Style10"/>
        </w:rPr>
        <w:footnoteRef/>
      </w:r>
      <w:r>
        <w:rPr>
          <w:rFonts w:ascii="Arial" w:hAnsi="Arial"/>
        </w:rPr>
        <w:t>4</w:t>
      </w:r>
      <w:r>
        <w:rPr>
          <w:rFonts w:ascii="Arial" w:hAnsi="Arial"/>
          <w:color w:val="623B2A"/>
          <w:sz w:val="21"/>
        </w:rPr>
        <w:t xml:space="preserve"> Прием заявлений предоставляется только в МФЦ Мясниковского района Ростовской области</w:t>
      </w:r>
    </w:p>
  </w:footnote>
  <w:footnote w:id="6">
    <w:p>
      <w:pPr>
        <w:pStyle w:val="Normal"/>
        <w:widowControl/>
        <w:spacing w:lineRule="auto" w:line="252" w:before="0" w:after="160"/>
        <w:rPr/>
      </w:pPr>
      <w:r>
        <w:rPr>
          <w:rStyle w:val="Style10"/>
        </w:rPr>
        <w:footnoteRef/>
      </w:r>
      <w:r>
        <w:rPr>
          <w:rFonts w:ascii="Arial" w:hAnsi="Arial"/>
          <w:color w:val="623B2A"/>
          <w:sz w:val="21"/>
        </w:rPr>
        <w:t xml:space="preserve"> </w:t>
      </w:r>
      <w:r>
        <w:rPr>
          <w:rFonts w:ascii="Arial" w:hAnsi="Arial"/>
          <w:color w:val="623B2A"/>
          <w:sz w:val="21"/>
        </w:rPr>
        <w:t>Услуга предоставляется только в МФЦ г. Ростова-на-Дону, г. Батайска, г. Азова, г. Новочеркасска, Азовского, Багаевского, Кагальницкого, Мясниковского, Аксайского, Егорлыкского, Зерноградского, Семикаракорского, Целинского районов.</w:t>
      </w:r>
    </w:p>
  </w:footnote>
  <w:footnote w:id="7">
    <w:p>
      <w:pPr>
        <w:pStyle w:val="Footnote1"/>
        <w:rPr/>
      </w:pPr>
      <w:r>
        <w:rPr>
          <w:rStyle w:val="Style10"/>
        </w:rPr>
        <w:footnoteRef/>
      </w:r>
      <w:r>
        <w:rPr/>
        <w:t xml:space="preserve"> </w:t>
      </w:r>
      <w:r>
        <w:rPr>
          <w:rFonts w:ascii="Arial" w:hAnsi="Arial"/>
          <w:color w:val="623B2A"/>
          <w:sz w:val="16"/>
        </w:rPr>
        <w:t>Услуга предоставляется только в МФЦ г. Гуково, г. Зверево, Красносулинского района</w:t>
      </w:r>
    </w:p>
  </w:footnote>
  <w:footnote w:id="8">
    <w:p>
      <w:pPr>
        <w:pStyle w:val="Footnote1"/>
        <w:rPr/>
      </w:pPr>
      <w:r>
        <w:rPr>
          <w:rStyle w:val="Style10"/>
        </w:rPr>
        <w:footnoteRef/>
      </w:r>
      <w:r>
        <w:rPr>
          <w:sz w:val="16"/>
        </w:rPr>
        <w:t xml:space="preserve"> </w:t>
      </w:r>
      <w:r>
        <w:rPr>
          <w:rFonts w:ascii="Arial" w:hAnsi="Arial"/>
          <w:color w:val="582C00"/>
          <w:sz w:val="16"/>
        </w:rPr>
        <w:t>Услуга предоставляется только в МФЦ г. Ростова-на-Дону, г. Батайска, г. Азова, Зверево, МФЦ Азовского района, Багаевского района, Верхнедонского района, Егорлыкского района, Зерноградского района, Кагальницкого района, Каменского района, Мясниковского района, Обливского района, Октябрьского района, Семикаракорского района, Целинского района.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sz w:val="21"/>
        <w:color w:val="623B2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4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52" w:before="0" w:after="160"/>
      <w:ind w:hanging="0" w:left="0" w:right="0"/>
      <w:jc w:val="left"/>
    </w:pPr>
    <w:rPr>
      <w:rFonts w:ascii="Calibri" w:hAnsi="Calibri" w:eastAsia="NSimSun" w:cs="Arial"/>
      <w:color w:val="000000"/>
      <w:spacing w:val="0"/>
      <w:kern w:val="0"/>
      <w:sz w:val="22"/>
      <w:szCs w:val="20"/>
      <w:lang w:val="ru-RU" w:eastAsia="zh-CN" w:bidi="hi-IN"/>
    </w:rPr>
  </w:style>
  <w:style w:type="paragraph" w:styleId="Heading1">
    <w:name w:val="Heading 1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left="0" w:right="0"/>
      <w:jc w:val="both"/>
      <w:outlineLvl w:val="0"/>
    </w:pPr>
    <w:rPr>
      <w:rFonts w:ascii="XO Thames" w:hAnsi="XO Thames" w:eastAsia="NSimSun" w:cs="Arial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Heading2">
    <w:name w:val="Heading 2"/>
    <w:basedOn w:val="Normal"/>
    <w:next w:val="BodyText"/>
    <w:uiPriority w:val="9"/>
    <w:qFormat/>
    <w:pPr>
      <w:numPr>
        <w:ilvl w:val="1"/>
        <w:numId w:val="4"/>
      </w:numPr>
      <w:spacing w:lineRule="auto" w:line="240" w:before="280" w:after="280"/>
      <w:outlineLvl w:val="1"/>
    </w:pPr>
    <w:rPr>
      <w:rFonts w:ascii="Times New Roman" w:hAnsi="Times New Roman"/>
      <w:b/>
      <w:sz w:val="36"/>
    </w:rPr>
  </w:style>
  <w:style w:type="paragraph" w:styleId="Heading3">
    <w:name w:val="Heading 3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left="0" w:right="0"/>
      <w:jc w:val="both"/>
      <w:outlineLvl w:val="2"/>
    </w:pPr>
    <w:rPr>
      <w:rFonts w:ascii="XO Thames" w:hAnsi="XO Thames" w:eastAsia="NSimSun" w:cs="Arial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Heading4">
    <w:name w:val="Heading 4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left="0" w:right="0"/>
      <w:jc w:val="both"/>
      <w:outlineLvl w:val="3"/>
    </w:pPr>
    <w:rPr>
      <w:rFonts w:ascii="XO Thames" w:hAnsi="XO Thames" w:eastAsia="NSimSun" w:cs="Arial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Heading5">
    <w:name w:val="Heading 5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left="0" w:right="0"/>
      <w:jc w:val="both"/>
      <w:outlineLvl w:val="4"/>
    </w:pPr>
    <w:rPr>
      <w:rFonts w:ascii="XO Thames" w:hAnsi="XO Thames" w:eastAsia="NSimSun" w:cs="Arial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WW8Num3z3">
    <w:name w:val="WW8Num3z3"/>
    <w:link w:val="WW8Num3z31"/>
    <w:qFormat/>
    <w:rPr/>
  </w:style>
  <w:style w:type="character" w:styleId="WW8Num13z5">
    <w:name w:val="WW8Num13z5"/>
    <w:link w:val="WW8Num13z51"/>
    <w:qFormat/>
    <w:rPr/>
  </w:style>
  <w:style w:type="character" w:styleId="WW8Num14z0">
    <w:name w:val="WW8Num14z0"/>
    <w:link w:val="WW8Num14z01"/>
    <w:qFormat/>
    <w:rPr/>
  </w:style>
  <w:style w:type="character" w:styleId="FootnoteReference7">
    <w:name w:val="Footnote Reference7"/>
    <w:link w:val="FootnoteReference71"/>
    <w:qFormat/>
    <w:rPr>
      <w:vertAlign w:val="superscript"/>
    </w:rPr>
  </w:style>
  <w:style w:type="character" w:styleId="WW8Num8z4">
    <w:name w:val="WW8Num8z4"/>
    <w:link w:val="WW8Num8z41"/>
    <w:qFormat/>
    <w:rPr/>
  </w:style>
  <w:style w:type="character" w:styleId="Caption1">
    <w:name w:val="Caption1"/>
    <w:qFormat/>
    <w:rPr>
      <w:i/>
      <w:sz w:val="24"/>
    </w:rPr>
  </w:style>
  <w:style w:type="character" w:styleId="Style9">
    <w:name w:val="Нижний колонтитул Знак"/>
    <w:basedOn w:val="Style12"/>
    <w:link w:val="12"/>
    <w:qFormat/>
    <w:rPr/>
  </w:style>
  <w:style w:type="character" w:styleId="Contents2">
    <w:name w:val="Contents 2"/>
    <w:qFormat/>
    <w:rPr>
      <w:rFonts w:ascii="XO Thames" w:hAnsi="XO Thames"/>
      <w:sz w:val="28"/>
    </w:rPr>
  </w:style>
  <w:style w:type="character" w:styleId="WW8Num2z1">
    <w:name w:val="WW8Num2z1"/>
    <w:link w:val="WW8Num2z11"/>
    <w:qFormat/>
    <w:rPr/>
  </w:style>
  <w:style w:type="character" w:styleId="WW8Num16z2">
    <w:name w:val="WW8Num16z2"/>
    <w:link w:val="WW8Num16z21"/>
    <w:qFormat/>
    <w:rPr/>
  </w:style>
  <w:style w:type="character" w:styleId="WW8Num19z7">
    <w:name w:val="WW8Num19z7"/>
    <w:link w:val="WW8Num19z71"/>
    <w:qFormat/>
    <w:rPr/>
  </w:style>
  <w:style w:type="character" w:styleId="WW8Num17z4">
    <w:name w:val="WW8Num17z4"/>
    <w:link w:val="WW8Num17z41"/>
    <w:qFormat/>
    <w:rPr/>
  </w:style>
  <w:style w:type="character" w:styleId="Style10">
    <w:name w:val="Символ сноски"/>
    <w:link w:val="13"/>
    <w:qFormat/>
    <w:rPr>
      <w:vertAlign w:val="superscript"/>
    </w:rPr>
  </w:style>
  <w:style w:type="character" w:styleId="WW8Num18z2">
    <w:name w:val="WW8Num18z2"/>
    <w:link w:val="WW8Num18z21"/>
    <w:qFormat/>
    <w:rPr/>
  </w:style>
  <w:style w:type="character" w:styleId="Contents4">
    <w:name w:val="Contents 4"/>
    <w:qFormat/>
    <w:rPr>
      <w:rFonts w:ascii="XO Thames" w:hAnsi="XO Thames"/>
      <w:sz w:val="28"/>
    </w:rPr>
  </w:style>
  <w:style w:type="character" w:styleId="Style11">
    <w:name w:val="Символ концевой сноски"/>
    <w:link w:val="14"/>
    <w:qFormat/>
    <w:rPr>
      <w:vertAlign w:val="superscript"/>
    </w:rPr>
  </w:style>
  <w:style w:type="character" w:styleId="WW8Num9z1">
    <w:name w:val="WW8Num9z1"/>
    <w:link w:val="WW8Num9z11"/>
    <w:qFormat/>
    <w:rPr>
      <w:rFonts w:ascii="Courier New" w:hAnsi="Courier New"/>
    </w:rPr>
  </w:style>
  <w:style w:type="character" w:styleId="WW8Num9z0">
    <w:name w:val="WW8Num9z0"/>
    <w:link w:val="WW8Num9z01"/>
    <w:qFormat/>
    <w:rPr>
      <w:rFonts w:ascii="Symbol" w:hAnsi="Symbol"/>
      <w:color w:val="623B2A"/>
      <w:sz w:val="21"/>
    </w:rPr>
  </w:style>
  <w:style w:type="character" w:styleId="WW8Num11z7">
    <w:name w:val="WW8Num11z7"/>
    <w:link w:val="WW8Num11z71"/>
    <w:qFormat/>
    <w:rPr/>
  </w:style>
  <w:style w:type="character" w:styleId="EndnoteReference2">
    <w:name w:val="Endnote Reference2"/>
    <w:link w:val="EndnoteReference21"/>
    <w:qFormat/>
    <w:rPr>
      <w:vertAlign w:val="superscript"/>
    </w:rPr>
  </w:style>
  <w:style w:type="character" w:styleId="Contents6">
    <w:name w:val="Contents 6"/>
    <w:qFormat/>
    <w:rPr>
      <w:rFonts w:ascii="XO Thames" w:hAnsi="XO Thames"/>
      <w:sz w:val="28"/>
    </w:rPr>
  </w:style>
  <w:style w:type="character" w:styleId="WW8Num12z4">
    <w:name w:val="WW8Num12z4"/>
    <w:link w:val="WW8Num12z41"/>
    <w:qFormat/>
    <w:rPr/>
  </w:style>
  <w:style w:type="character" w:styleId="WW8Num17z1">
    <w:name w:val="WW8Num17z1"/>
    <w:link w:val="WW8Num17z11"/>
    <w:qFormat/>
    <w:rPr/>
  </w:style>
  <w:style w:type="character" w:styleId="WW8Num12z2">
    <w:name w:val="WW8Num12z2"/>
    <w:link w:val="WW8Num12z21"/>
    <w:qFormat/>
    <w:rPr/>
  </w:style>
  <w:style w:type="character" w:styleId="Contents7">
    <w:name w:val="Contents 7"/>
    <w:qFormat/>
    <w:rPr>
      <w:rFonts w:ascii="XO Thames" w:hAnsi="XO Thames"/>
      <w:sz w:val="28"/>
    </w:rPr>
  </w:style>
  <w:style w:type="character" w:styleId="WW8Num2z3">
    <w:name w:val="WW8Num2z3"/>
    <w:link w:val="WW8Num2z31"/>
    <w:qFormat/>
    <w:rPr/>
  </w:style>
  <w:style w:type="character" w:styleId="WW8Num13z3">
    <w:name w:val="WW8Num13z3"/>
    <w:link w:val="WW8Num13z31"/>
    <w:qFormat/>
    <w:rPr/>
  </w:style>
  <w:style w:type="character" w:styleId="WW8Num17z3">
    <w:name w:val="WW8Num17z3"/>
    <w:link w:val="WW8Num17z31"/>
    <w:qFormat/>
    <w:rPr/>
  </w:style>
  <w:style w:type="character" w:styleId="WW8Num6z8">
    <w:name w:val="WW8Num6z8"/>
    <w:link w:val="WW8Num6z81"/>
    <w:qFormat/>
    <w:rPr/>
  </w:style>
  <w:style w:type="character" w:styleId="WW8Num17z8">
    <w:name w:val="WW8Num17z8"/>
    <w:link w:val="WW8Num17z81"/>
    <w:qFormat/>
    <w:rPr/>
  </w:style>
  <w:style w:type="character" w:styleId="WW8Num17z6">
    <w:name w:val="WW8Num17z6"/>
    <w:link w:val="WW8Num17z61"/>
    <w:qFormat/>
    <w:rPr/>
  </w:style>
  <w:style w:type="character" w:styleId="WW8Num15z7">
    <w:name w:val="WW8Num15z7"/>
    <w:link w:val="WW8Num15z71"/>
    <w:qFormat/>
    <w:rPr/>
  </w:style>
  <w:style w:type="character" w:styleId="WW8Num16z5">
    <w:name w:val="WW8Num16z5"/>
    <w:link w:val="WW8Num16z51"/>
    <w:qFormat/>
    <w:rPr/>
  </w:style>
  <w:style w:type="character" w:styleId="Style12">
    <w:name w:val="Основной шрифт абзаца"/>
    <w:link w:val="15"/>
    <w:qFormat/>
    <w:rPr/>
  </w:style>
  <w:style w:type="character" w:styleId="WW8Num8z1">
    <w:name w:val="WW8Num8z1"/>
    <w:link w:val="WW8Num8z11"/>
    <w:qFormat/>
    <w:rPr/>
  </w:style>
  <w:style w:type="character" w:styleId="WW8Num15z6">
    <w:name w:val="WW8Num15z6"/>
    <w:link w:val="WW8Num15z61"/>
    <w:qFormat/>
    <w:rPr/>
  </w:style>
  <w:style w:type="character" w:styleId="EndnoteReference13">
    <w:name w:val="Endnote Reference13"/>
    <w:link w:val="EndnoteReference131"/>
    <w:qFormat/>
    <w:rPr>
      <w:vertAlign w:val="superscript"/>
    </w:rPr>
  </w:style>
  <w:style w:type="character" w:styleId="Heading31">
    <w:name w:val="Heading 31"/>
    <w:qFormat/>
    <w:rPr>
      <w:rFonts w:ascii="XO Thames" w:hAnsi="XO Thames"/>
      <w:b/>
      <w:sz w:val="26"/>
    </w:rPr>
  </w:style>
  <w:style w:type="character" w:styleId="WW8Num20z1">
    <w:name w:val="WW8Num20z1"/>
    <w:link w:val="WW8Num20z11"/>
    <w:qFormat/>
    <w:rPr>
      <w:rFonts w:ascii="Courier New" w:hAnsi="Courier New"/>
    </w:rPr>
  </w:style>
  <w:style w:type="character" w:styleId="WW8Num10z4">
    <w:name w:val="WW8Num10z4"/>
    <w:link w:val="WW8Num10z41"/>
    <w:qFormat/>
    <w:rPr/>
  </w:style>
  <w:style w:type="character" w:styleId="WW8Num7z6">
    <w:name w:val="WW8Num7z6"/>
    <w:link w:val="WW8Num7z61"/>
    <w:qFormat/>
    <w:rPr/>
  </w:style>
  <w:style w:type="character" w:styleId="Caption111111">
    <w:name w:val="Caption111111"/>
    <w:link w:val="Caption1111112"/>
    <w:qFormat/>
    <w:rPr>
      <w:i/>
      <w:sz w:val="24"/>
    </w:rPr>
  </w:style>
  <w:style w:type="character" w:styleId="WW8Num3z1">
    <w:name w:val="WW8Num3z1"/>
    <w:link w:val="WW8Num3z11"/>
    <w:qFormat/>
    <w:rPr/>
  </w:style>
  <w:style w:type="character" w:styleId="WW8Num17z0">
    <w:name w:val="WW8Num17z0"/>
    <w:link w:val="WW8Num17z01"/>
    <w:qFormat/>
    <w:rPr/>
  </w:style>
  <w:style w:type="character" w:styleId="WW8Num15z0">
    <w:name w:val="WW8Num15z0"/>
    <w:link w:val="WW8Num15z01"/>
    <w:qFormat/>
    <w:rPr/>
  </w:style>
  <w:style w:type="character" w:styleId="WW8Num10z0">
    <w:name w:val="WW8Num10z0"/>
    <w:link w:val="WW8Num10z01"/>
    <w:qFormat/>
    <w:rPr/>
  </w:style>
  <w:style w:type="character" w:styleId="Style13">
    <w:name w:val="Верхний колонтитул Знак"/>
    <w:basedOn w:val="Style12"/>
    <w:link w:val="16"/>
    <w:qFormat/>
    <w:rPr/>
  </w:style>
  <w:style w:type="character" w:styleId="Caption111">
    <w:name w:val="Caption111"/>
    <w:link w:val="Caption1112"/>
    <w:qFormat/>
    <w:rPr>
      <w:i/>
      <w:sz w:val="24"/>
    </w:rPr>
  </w:style>
  <w:style w:type="character" w:styleId="Style14">
    <w:name w:val="Текст сноски Знак"/>
    <w:link w:val="17"/>
    <w:qFormat/>
    <w:rPr>
      <w:sz w:val="20"/>
    </w:rPr>
  </w:style>
  <w:style w:type="character" w:styleId="WW8Num5z7">
    <w:name w:val="WW8Num5z7"/>
    <w:link w:val="WW8Num5z71"/>
    <w:qFormat/>
    <w:rPr/>
  </w:style>
  <w:style w:type="character" w:styleId="WW8Num8z6">
    <w:name w:val="WW8Num8z6"/>
    <w:link w:val="WW8Num8z61"/>
    <w:qFormat/>
    <w:rPr/>
  </w:style>
  <w:style w:type="character" w:styleId="EndnoteReference4">
    <w:name w:val="Endnote Reference4"/>
    <w:link w:val="EndnoteReference41"/>
    <w:qFormat/>
    <w:rPr>
      <w:vertAlign w:val="superscript"/>
    </w:rPr>
  </w:style>
  <w:style w:type="character" w:styleId="WW8Num5z5">
    <w:name w:val="WW8Num5z5"/>
    <w:link w:val="WW8Num5z51"/>
    <w:qFormat/>
    <w:rPr/>
  </w:style>
  <w:style w:type="character" w:styleId="WW8Num2z8">
    <w:name w:val="WW8Num2z8"/>
    <w:link w:val="WW8Num2z81"/>
    <w:qFormat/>
    <w:rPr/>
  </w:style>
  <w:style w:type="character" w:styleId="WW8Num2z4">
    <w:name w:val="WW8Num2z4"/>
    <w:link w:val="WW8Num2z41"/>
    <w:qFormat/>
    <w:rPr/>
  </w:style>
  <w:style w:type="character" w:styleId="WW8Num10z8">
    <w:name w:val="WW8Num10z8"/>
    <w:link w:val="WW8Num10z81"/>
    <w:qFormat/>
    <w:rPr/>
  </w:style>
  <w:style w:type="character" w:styleId="WW8Num6z5">
    <w:name w:val="WW8Num6z5"/>
    <w:link w:val="WW8Num6z51"/>
    <w:qFormat/>
    <w:rPr/>
  </w:style>
  <w:style w:type="character" w:styleId="WW8Num1z5">
    <w:name w:val="WW8Num1z5"/>
    <w:link w:val="WW8Num1z51"/>
    <w:qFormat/>
    <w:rPr/>
  </w:style>
  <w:style w:type="character" w:styleId="Default">
    <w:name w:val="Default"/>
    <w:link w:val="Default1"/>
    <w:qFormat/>
    <w:rPr>
      <w:rFonts w:ascii="Times New Roman" w:hAnsi="Times New Roman"/>
      <w:color w:val="000000"/>
      <w:sz w:val="24"/>
    </w:rPr>
  </w:style>
  <w:style w:type="character" w:styleId="FootnoteReference3">
    <w:name w:val="Footnote Reference3"/>
    <w:link w:val="FootnoteReference31"/>
    <w:qFormat/>
    <w:rPr>
      <w:vertAlign w:val="superscript"/>
    </w:rPr>
  </w:style>
  <w:style w:type="character" w:styleId="WW8Num19z2">
    <w:name w:val="WW8Num19z2"/>
    <w:link w:val="WW8Num19z21"/>
    <w:qFormat/>
    <w:rPr/>
  </w:style>
  <w:style w:type="character" w:styleId="Style15">
    <w:name w:val="Текст выноски"/>
    <w:link w:val="18"/>
    <w:qFormat/>
    <w:rPr>
      <w:rFonts w:ascii="Segoe UI" w:hAnsi="Segoe UI"/>
      <w:sz w:val="18"/>
    </w:rPr>
  </w:style>
  <w:style w:type="character" w:styleId="WW8Num2z6">
    <w:name w:val="WW8Num2z6"/>
    <w:link w:val="WW8Num2z61"/>
    <w:qFormat/>
    <w:rPr/>
  </w:style>
  <w:style w:type="character" w:styleId="FootnoteReference8">
    <w:name w:val="Footnote Reference8"/>
    <w:link w:val="FootnoteReference81"/>
    <w:qFormat/>
    <w:rPr>
      <w:vertAlign w:val="superscript"/>
    </w:rPr>
  </w:style>
  <w:style w:type="character" w:styleId="WW8Num5z0">
    <w:name w:val="WW8Num5z0"/>
    <w:link w:val="WW8Num5z01"/>
    <w:qFormat/>
    <w:rPr/>
  </w:style>
  <w:style w:type="character" w:styleId="WW8Num5z4">
    <w:name w:val="WW8Num5z4"/>
    <w:link w:val="WW8Num5z41"/>
    <w:qFormat/>
    <w:rPr/>
  </w:style>
  <w:style w:type="character" w:styleId="WW8Num18z3">
    <w:name w:val="WW8Num18z3"/>
    <w:link w:val="WW8Num18z31"/>
    <w:qFormat/>
    <w:rPr/>
  </w:style>
  <w:style w:type="character" w:styleId="Footer1">
    <w:name w:val="Footer1"/>
    <w:qFormat/>
    <w:rPr/>
  </w:style>
  <w:style w:type="character" w:styleId="WW8Num1z7">
    <w:name w:val="WW8Num1z7"/>
    <w:link w:val="WW8Num1z71"/>
    <w:qFormat/>
    <w:rPr/>
  </w:style>
  <w:style w:type="character" w:styleId="WW8Num5z3">
    <w:name w:val="WW8Num5z3"/>
    <w:link w:val="WW8Num5z31"/>
    <w:qFormat/>
    <w:rPr/>
  </w:style>
  <w:style w:type="character" w:styleId="EndnoteReference3">
    <w:name w:val="Endnote Reference3"/>
    <w:link w:val="EndnoteReference31"/>
    <w:qFormat/>
    <w:rPr>
      <w:vertAlign w:val="superscript"/>
    </w:rPr>
  </w:style>
  <w:style w:type="character" w:styleId="WW8Num11z3">
    <w:name w:val="WW8Num11z3"/>
    <w:link w:val="WW8Num11z31"/>
    <w:qFormat/>
    <w:rPr/>
  </w:style>
  <w:style w:type="character" w:styleId="WW8Num6z4">
    <w:name w:val="WW8Num6z4"/>
    <w:link w:val="WW8Num6z41"/>
    <w:qFormat/>
    <w:rPr/>
  </w:style>
  <w:style w:type="character" w:styleId="Caption11111111111">
    <w:name w:val="Caption11111111111"/>
    <w:link w:val="Caption111111111112"/>
    <w:qFormat/>
    <w:rPr>
      <w:i/>
      <w:sz w:val="24"/>
    </w:rPr>
  </w:style>
  <w:style w:type="character" w:styleId="WW8Num1z0">
    <w:name w:val="WW8Num1z0"/>
    <w:link w:val="WW8Num1z01"/>
    <w:qFormat/>
    <w:rPr/>
  </w:style>
  <w:style w:type="character" w:styleId="FootnoteReference11">
    <w:name w:val="Footnote Reference11"/>
    <w:link w:val="FootnoteReference111"/>
    <w:qFormat/>
    <w:rPr>
      <w:vertAlign w:val="superscript"/>
    </w:rPr>
  </w:style>
  <w:style w:type="character" w:styleId="WW8Num11z2">
    <w:name w:val="WW8Num11z2"/>
    <w:link w:val="WW8Num11z21"/>
    <w:qFormat/>
    <w:rPr/>
  </w:style>
  <w:style w:type="character" w:styleId="Caption111111111111">
    <w:name w:val="Caption111111111111"/>
    <w:link w:val="Caption1111111111112"/>
    <w:qFormat/>
    <w:rPr>
      <w:i/>
      <w:sz w:val="24"/>
    </w:rPr>
  </w:style>
  <w:style w:type="character" w:styleId="Caption1111111111111">
    <w:name w:val="Caption1111111111111"/>
    <w:link w:val="Caption11111111111111"/>
    <w:qFormat/>
    <w:rPr>
      <w:i/>
      <w:sz w:val="24"/>
    </w:rPr>
  </w:style>
  <w:style w:type="character" w:styleId="WW8Num13z7">
    <w:name w:val="WW8Num13z7"/>
    <w:link w:val="WW8Num13z71"/>
    <w:qFormat/>
    <w:rPr/>
  </w:style>
  <w:style w:type="character" w:styleId="WW8Num13z0">
    <w:name w:val="WW8Num13z0"/>
    <w:link w:val="WW8Num13z01"/>
    <w:qFormat/>
    <w:rPr/>
  </w:style>
  <w:style w:type="character" w:styleId="WW8Num4z7">
    <w:name w:val="WW8Num4z7"/>
    <w:link w:val="WW8Num4z71"/>
    <w:qFormat/>
    <w:rPr/>
  </w:style>
  <w:style w:type="character" w:styleId="Style16">
    <w:name w:val="Заголовок таблицы"/>
    <w:basedOn w:val="Style19"/>
    <w:link w:val="113"/>
    <w:qFormat/>
    <w:rPr>
      <w:b/>
    </w:rPr>
  </w:style>
  <w:style w:type="character" w:styleId="DefaultParagraphFont">
    <w:name w:val="Default Paragraph Font"/>
    <w:link w:val="DefaultParagraphFont1"/>
    <w:qFormat/>
    <w:rPr/>
  </w:style>
  <w:style w:type="character" w:styleId="FootnoteReference4">
    <w:name w:val="Footnote Reference4"/>
    <w:link w:val="FootnoteReference41"/>
    <w:qFormat/>
    <w:rPr>
      <w:vertAlign w:val="superscript"/>
    </w:rPr>
  </w:style>
  <w:style w:type="character" w:styleId="Style17">
    <w:name w:val="Текст концевой сноски Знак"/>
    <w:link w:val="114"/>
    <w:qFormat/>
    <w:rPr/>
  </w:style>
  <w:style w:type="character" w:styleId="List1">
    <w:name w:val="List1"/>
    <w:basedOn w:val="Textbody"/>
    <w:qFormat/>
    <w:rPr/>
  </w:style>
  <w:style w:type="character" w:styleId="WW8Num12z7">
    <w:name w:val="WW8Num12z7"/>
    <w:link w:val="WW8Num12z71"/>
    <w:qFormat/>
    <w:rPr/>
  </w:style>
  <w:style w:type="character" w:styleId="WW8Num13z1">
    <w:name w:val="WW8Num13z1"/>
    <w:link w:val="WW8Num13z11"/>
    <w:qFormat/>
    <w:rPr/>
  </w:style>
  <w:style w:type="character" w:styleId="WW8Num10z3">
    <w:name w:val="WW8Num10z3"/>
    <w:link w:val="WW8Num10z31"/>
    <w:qFormat/>
    <w:rPr/>
  </w:style>
  <w:style w:type="character" w:styleId="WW8Num4z5">
    <w:name w:val="WW8Num4z5"/>
    <w:link w:val="WW8Num4z51"/>
    <w:qFormat/>
    <w:rPr/>
  </w:style>
  <w:style w:type="character" w:styleId="WW8Num20z2">
    <w:name w:val="WW8Num20z2"/>
    <w:link w:val="WW8Num20z21"/>
    <w:qFormat/>
    <w:rPr>
      <w:rFonts w:ascii="Wingdings" w:hAnsi="Wingdings"/>
    </w:rPr>
  </w:style>
  <w:style w:type="character" w:styleId="WW8Num2z5">
    <w:name w:val="WW8Num2z5"/>
    <w:link w:val="WW8Num2z51"/>
    <w:qFormat/>
    <w:rPr/>
  </w:style>
  <w:style w:type="character" w:styleId="Contents3">
    <w:name w:val="Contents 3"/>
    <w:qFormat/>
    <w:rPr>
      <w:rFonts w:ascii="XO Thames" w:hAnsi="XO Thames"/>
      <w:sz w:val="28"/>
    </w:rPr>
  </w:style>
  <w:style w:type="character" w:styleId="Caption11111">
    <w:name w:val="Caption11111"/>
    <w:link w:val="Caption111112"/>
    <w:qFormat/>
    <w:rPr>
      <w:i/>
      <w:sz w:val="24"/>
    </w:rPr>
  </w:style>
  <w:style w:type="character" w:styleId="WW8Num15z8">
    <w:name w:val="WW8Num15z8"/>
    <w:link w:val="WW8Num15z81"/>
    <w:qFormat/>
    <w:rPr/>
  </w:style>
  <w:style w:type="character" w:styleId="WW8Num4z2">
    <w:name w:val="WW8Num4z2"/>
    <w:link w:val="WW8Num4z21"/>
    <w:qFormat/>
    <w:rPr/>
  </w:style>
  <w:style w:type="character" w:styleId="Caption2">
    <w:name w:val="caption2"/>
    <w:link w:val="Caption3"/>
    <w:qFormat/>
    <w:rPr>
      <w:i/>
      <w:sz w:val="24"/>
    </w:rPr>
  </w:style>
  <w:style w:type="character" w:styleId="FootnoteReference10">
    <w:name w:val="Footnote Reference10"/>
    <w:link w:val="FootnoteReference101"/>
    <w:qFormat/>
    <w:rPr>
      <w:vertAlign w:val="superscript"/>
    </w:rPr>
  </w:style>
  <w:style w:type="character" w:styleId="Style18">
    <w:name w:val="Колонтитул"/>
    <w:link w:val="19"/>
    <w:qFormat/>
    <w:rPr/>
  </w:style>
  <w:style w:type="character" w:styleId="Textbody">
    <w:name w:val="Text body"/>
    <w:qFormat/>
    <w:rPr/>
  </w:style>
  <w:style w:type="character" w:styleId="Caption1111111">
    <w:name w:val="Caption1111111"/>
    <w:link w:val="Caption11111112"/>
    <w:qFormat/>
    <w:rPr>
      <w:i/>
      <w:sz w:val="24"/>
    </w:rPr>
  </w:style>
  <w:style w:type="character" w:styleId="WW8Num6z7">
    <w:name w:val="WW8Num6z7"/>
    <w:link w:val="WW8Num6z71"/>
    <w:qFormat/>
    <w:rPr/>
  </w:style>
  <w:style w:type="character" w:styleId="WW8Num6z2">
    <w:name w:val="WW8Num6z2"/>
    <w:link w:val="WW8Num6z21"/>
    <w:qFormat/>
    <w:rPr/>
  </w:style>
  <w:style w:type="character" w:styleId="WW8Num1z1">
    <w:name w:val="WW8Num1z1"/>
    <w:link w:val="WW8Num1z11"/>
    <w:qFormat/>
    <w:rPr/>
  </w:style>
  <w:style w:type="character" w:styleId="WW8Num7z5">
    <w:name w:val="WW8Num7z5"/>
    <w:link w:val="WW8Num7z51"/>
    <w:qFormat/>
    <w:rPr/>
  </w:style>
  <w:style w:type="character" w:styleId="EndnoteReference1">
    <w:name w:val="Endnote Reference1"/>
    <w:link w:val="EndnoteReference14"/>
    <w:qFormat/>
    <w:rPr>
      <w:vertAlign w:val="superscript"/>
    </w:rPr>
  </w:style>
  <w:style w:type="character" w:styleId="WW8Num15z2">
    <w:name w:val="WW8Num15z2"/>
    <w:link w:val="WW8Num15z21"/>
    <w:qFormat/>
    <w:rPr/>
  </w:style>
  <w:style w:type="character" w:styleId="Style19">
    <w:name w:val="Содержимое таблицы"/>
    <w:link w:val="110"/>
    <w:qFormat/>
    <w:rPr/>
  </w:style>
  <w:style w:type="character" w:styleId="WW8Num11z6">
    <w:name w:val="WW8Num11z6"/>
    <w:link w:val="WW8Num11z61"/>
    <w:qFormat/>
    <w:rPr/>
  </w:style>
  <w:style w:type="character" w:styleId="Caption1111111111">
    <w:name w:val="Caption1111111111"/>
    <w:link w:val="Caption11111111112"/>
    <w:qFormat/>
    <w:rPr>
      <w:i/>
      <w:sz w:val="24"/>
    </w:rPr>
  </w:style>
  <w:style w:type="character" w:styleId="WW8Num7z0">
    <w:name w:val="WW8Num7z0"/>
    <w:link w:val="WW8Num7z01"/>
    <w:qFormat/>
    <w:rPr/>
  </w:style>
  <w:style w:type="character" w:styleId="WW8Num7z3">
    <w:name w:val="WW8Num7z3"/>
    <w:link w:val="WW8Num7z31"/>
    <w:qFormat/>
    <w:rPr/>
  </w:style>
  <w:style w:type="character" w:styleId="WW8Num16z1">
    <w:name w:val="WW8Num16z1"/>
    <w:link w:val="WW8Num16z11"/>
    <w:qFormat/>
    <w:rPr/>
  </w:style>
  <w:style w:type="character" w:styleId="Caption11111111">
    <w:name w:val="Caption11111111"/>
    <w:link w:val="Caption111111112"/>
    <w:qFormat/>
    <w:rPr>
      <w:i/>
      <w:sz w:val="24"/>
    </w:rPr>
  </w:style>
  <w:style w:type="character" w:styleId="WW8Num11z8">
    <w:name w:val="WW8Num11z8"/>
    <w:link w:val="WW8Num11z81"/>
    <w:qFormat/>
    <w:rPr/>
  </w:style>
  <w:style w:type="character" w:styleId="WW8Num8z2">
    <w:name w:val="WW8Num8z2"/>
    <w:link w:val="WW8Num8z21"/>
    <w:qFormat/>
    <w:rPr/>
  </w:style>
  <w:style w:type="character" w:styleId="WW8Num1z3">
    <w:name w:val="WW8Num1z3"/>
    <w:link w:val="WW8Num1z31"/>
    <w:qFormat/>
    <w:rPr/>
  </w:style>
  <w:style w:type="character" w:styleId="WW8Num13z8">
    <w:name w:val="WW8Num13z8"/>
    <w:link w:val="WW8Num13z81"/>
    <w:qFormat/>
    <w:rPr/>
  </w:style>
  <w:style w:type="character" w:styleId="WW8Num18z7">
    <w:name w:val="WW8Num18z7"/>
    <w:link w:val="WW8Num18z71"/>
    <w:qFormat/>
    <w:rPr/>
  </w:style>
  <w:style w:type="character" w:styleId="WW8Num19z6">
    <w:name w:val="WW8Num19z6"/>
    <w:link w:val="WW8Num19z61"/>
    <w:qFormat/>
    <w:rPr/>
  </w:style>
  <w:style w:type="character" w:styleId="WW8Num12z3">
    <w:name w:val="WW8Num12z3"/>
    <w:link w:val="WW8Num12z31"/>
    <w:qFormat/>
    <w:rPr/>
  </w:style>
  <w:style w:type="character" w:styleId="EndnoteReference10">
    <w:name w:val="Endnote Reference10"/>
    <w:link w:val="EndnoteReference101"/>
    <w:qFormat/>
    <w:rPr>
      <w:vertAlign w:val="superscript"/>
    </w:rPr>
  </w:style>
  <w:style w:type="character" w:styleId="WW8Num16z8">
    <w:name w:val="WW8Num16z8"/>
    <w:link w:val="WW8Num16z81"/>
    <w:qFormat/>
    <w:rPr/>
  </w:style>
  <w:style w:type="character" w:styleId="WW8Num18z1">
    <w:name w:val="WW8Num18z1"/>
    <w:link w:val="WW8Num18z11"/>
    <w:qFormat/>
    <w:rPr/>
  </w:style>
  <w:style w:type="character" w:styleId="WW8Num7z2">
    <w:name w:val="WW8Num7z2"/>
    <w:link w:val="WW8Num7z21"/>
    <w:qFormat/>
    <w:rPr/>
  </w:style>
  <w:style w:type="character" w:styleId="WW8Num10z6">
    <w:name w:val="WW8Num10z6"/>
    <w:link w:val="WW8Num10z61"/>
    <w:qFormat/>
    <w:rPr/>
  </w:style>
  <w:style w:type="character" w:styleId="WW8Num18z0">
    <w:name w:val="WW8Num18z0"/>
    <w:link w:val="WW8Num18z01"/>
    <w:qFormat/>
    <w:rPr/>
  </w:style>
  <w:style w:type="character" w:styleId="Heading51">
    <w:name w:val="Heading 51"/>
    <w:qFormat/>
    <w:rPr>
      <w:rFonts w:ascii="XO Thames" w:hAnsi="XO Thames"/>
      <w:b/>
      <w:sz w:val="22"/>
    </w:rPr>
  </w:style>
  <w:style w:type="character" w:styleId="WW8Num14z4">
    <w:name w:val="WW8Num14z4"/>
    <w:link w:val="WW8Num14z41"/>
    <w:qFormat/>
    <w:rPr/>
  </w:style>
  <w:style w:type="character" w:styleId="Style20">
    <w:name w:val="Абзац списка"/>
    <w:link w:val="115"/>
    <w:qFormat/>
    <w:rPr/>
  </w:style>
  <w:style w:type="character" w:styleId="WW8Num14z3">
    <w:name w:val="WW8Num14z3"/>
    <w:link w:val="WW8Num14z31"/>
    <w:qFormat/>
    <w:rPr/>
  </w:style>
  <w:style w:type="character" w:styleId="EndnoteReference7">
    <w:name w:val="Endnote Reference7"/>
    <w:link w:val="EndnoteReference71"/>
    <w:qFormat/>
    <w:rPr>
      <w:vertAlign w:val="superscript"/>
    </w:rPr>
  </w:style>
  <w:style w:type="character" w:styleId="WW8Num6z0">
    <w:name w:val="WW8Num6z0"/>
    <w:link w:val="WW8Num6z01"/>
    <w:qFormat/>
    <w:rPr/>
  </w:style>
  <w:style w:type="character" w:styleId="Heading11">
    <w:name w:val="Heading 11"/>
    <w:qFormat/>
    <w:rPr>
      <w:rFonts w:ascii="XO Thames" w:hAnsi="XO Thames"/>
      <w:b/>
      <w:sz w:val="32"/>
    </w:rPr>
  </w:style>
  <w:style w:type="character" w:styleId="WW8Num4z4">
    <w:name w:val="WW8Num4z4"/>
    <w:link w:val="WW8Num4z41"/>
    <w:qFormat/>
    <w:rPr/>
  </w:style>
  <w:style w:type="character" w:styleId="WW8Num13z6">
    <w:name w:val="WW8Num13z6"/>
    <w:link w:val="WW8Num13z61"/>
    <w:qFormat/>
    <w:rPr/>
  </w:style>
  <w:style w:type="character" w:styleId="WW8Num16z6">
    <w:name w:val="WW8Num16z6"/>
    <w:link w:val="WW8Num16z61"/>
    <w:qFormat/>
    <w:rPr/>
  </w:style>
  <w:style w:type="character" w:styleId="WW8Num6z6">
    <w:name w:val="WW8Num6z6"/>
    <w:link w:val="WW8Num6z61"/>
    <w:qFormat/>
    <w:rPr/>
  </w:style>
  <w:style w:type="character" w:styleId="WW8Num19z5">
    <w:name w:val="WW8Num19z5"/>
    <w:link w:val="WW8Num19z51"/>
    <w:qFormat/>
    <w:rPr/>
  </w:style>
  <w:style w:type="character" w:styleId="ConsPlusNonformat">
    <w:name w:val="ConsPlusNonformat Знак"/>
    <w:link w:val="ConsPlusNonformat11"/>
    <w:qFormat/>
    <w:rPr>
      <w:rFonts w:ascii="Courier New" w:hAnsi="Courier New"/>
      <w:sz w:val="16"/>
    </w:rPr>
  </w:style>
  <w:style w:type="character" w:styleId="WW8Num4z1">
    <w:name w:val="WW8Num4z1"/>
    <w:link w:val="WW8Num4z11"/>
    <w:qFormat/>
    <w:rPr/>
  </w:style>
  <w:style w:type="character" w:styleId="WW8Num2z2">
    <w:name w:val="WW8Num2z2"/>
    <w:link w:val="WW8Num2z21"/>
    <w:qFormat/>
    <w:rPr/>
  </w:style>
  <w:style w:type="character" w:styleId="Hyperlink">
    <w:name w:val="Hyperlink"/>
    <w:rPr>
      <w:color w:val="000080"/>
      <w:u w:val="single"/>
    </w:rPr>
  </w:style>
  <w:style w:type="character" w:styleId="Footnote">
    <w:name w:val="Footnote"/>
    <w:link w:val="Footnote1"/>
    <w:qFormat/>
    <w:rPr>
      <w:sz w:val="20"/>
    </w:rPr>
  </w:style>
  <w:style w:type="character" w:styleId="WW8Num14z8">
    <w:name w:val="WW8Num14z8"/>
    <w:link w:val="WW8Num14z81"/>
    <w:qFormat/>
    <w:rPr/>
  </w:style>
  <w:style w:type="character" w:styleId="Contents1">
    <w:name w:val="Contents 1"/>
    <w:qFormat/>
    <w:rPr>
      <w:rFonts w:ascii="XO Thames" w:hAnsi="XO Thames"/>
      <w:b/>
      <w:sz w:val="28"/>
    </w:rPr>
  </w:style>
  <w:style w:type="character" w:styleId="WW8Num15z3">
    <w:name w:val="WW8Num15z3"/>
    <w:link w:val="WW8Num15z31"/>
    <w:qFormat/>
    <w:rPr/>
  </w:style>
  <w:style w:type="character" w:styleId="Style21">
    <w:name w:val="Прижатый влево"/>
    <w:link w:val="116"/>
    <w:qFormat/>
    <w:rPr>
      <w:rFonts w:ascii="Arial" w:hAnsi="Arial"/>
    </w:rPr>
  </w:style>
  <w:style w:type="character" w:styleId="WW8Num17z5">
    <w:name w:val="WW8Num17z5"/>
    <w:link w:val="WW8Num17z51"/>
    <w:qFormat/>
    <w:rPr/>
  </w:style>
  <w:style w:type="character" w:styleId="HeaderandFooter">
    <w:name w:val="Header and Footer"/>
    <w:qFormat/>
    <w:rPr>
      <w:rFonts w:ascii="XO Thames" w:hAnsi="XO Thames"/>
      <w:sz w:val="20"/>
    </w:rPr>
  </w:style>
  <w:style w:type="character" w:styleId="WW8Num15z1">
    <w:name w:val="WW8Num15z1"/>
    <w:link w:val="WW8Num15z11"/>
    <w:qFormat/>
    <w:rPr/>
  </w:style>
  <w:style w:type="character" w:styleId="FootnoteReference">
    <w:name w:val="Footnote Reference"/>
    <w:rPr>
      <w:vertAlign w:val="superscript"/>
    </w:rPr>
  </w:style>
  <w:style w:type="character" w:styleId="WW8Num18z4">
    <w:name w:val="WW8Num18z4"/>
    <w:link w:val="WW8Num18z41"/>
    <w:qFormat/>
    <w:rPr/>
  </w:style>
  <w:style w:type="character" w:styleId="WW8Num3z7">
    <w:name w:val="WW8Num3z7"/>
    <w:link w:val="WW8Num3z71"/>
    <w:qFormat/>
    <w:rPr/>
  </w:style>
  <w:style w:type="character" w:styleId="FootnoteReference2">
    <w:name w:val="Footnote Reference2"/>
    <w:link w:val="FootnoteReference21"/>
    <w:qFormat/>
    <w:rPr>
      <w:vertAlign w:val="superscript"/>
    </w:rPr>
  </w:style>
  <w:style w:type="character" w:styleId="WW8Num7z4">
    <w:name w:val="WW8Num7z4"/>
    <w:link w:val="WW8Num7z41"/>
    <w:qFormat/>
    <w:rPr/>
  </w:style>
  <w:style w:type="character" w:styleId="WW8Num11z5">
    <w:name w:val="WW8Num11z5"/>
    <w:link w:val="WW8Num11z51"/>
    <w:qFormat/>
    <w:rPr/>
  </w:style>
  <w:style w:type="character" w:styleId="WW8Num16z0">
    <w:name w:val="WW8Num16z0"/>
    <w:link w:val="WW8Num16z01"/>
    <w:qFormat/>
    <w:rPr/>
  </w:style>
  <w:style w:type="character" w:styleId="WW8Num15z5">
    <w:name w:val="WW8Num15z5"/>
    <w:link w:val="WW8Num15z51"/>
    <w:qFormat/>
    <w:rPr/>
  </w:style>
  <w:style w:type="character" w:styleId="WW8Num5z6">
    <w:name w:val="WW8Num5z6"/>
    <w:link w:val="WW8Num5z61"/>
    <w:qFormat/>
    <w:rPr/>
  </w:style>
  <w:style w:type="character" w:styleId="WW8Num8z5">
    <w:name w:val="WW8Num8z5"/>
    <w:link w:val="WW8Num8z51"/>
    <w:qFormat/>
    <w:rPr/>
  </w:style>
  <w:style w:type="character" w:styleId="WW8Num16z7">
    <w:name w:val="WW8Num16z7"/>
    <w:link w:val="WW8Num16z71"/>
    <w:qFormat/>
    <w:rPr/>
  </w:style>
  <w:style w:type="character" w:styleId="Contents9">
    <w:name w:val="Contents 9"/>
    <w:qFormat/>
    <w:rPr>
      <w:rFonts w:ascii="XO Thames" w:hAnsi="XO Thames"/>
      <w:sz w:val="28"/>
    </w:rPr>
  </w:style>
  <w:style w:type="character" w:styleId="WW8Num6z3">
    <w:name w:val="WW8Num6z3"/>
    <w:link w:val="WW8Num6z31"/>
    <w:qFormat/>
    <w:rPr/>
  </w:style>
  <w:style w:type="character" w:styleId="WW8Num5z8">
    <w:name w:val="WW8Num5z8"/>
    <w:link w:val="WW8Num5z81"/>
    <w:qFormat/>
    <w:rPr/>
  </w:style>
  <w:style w:type="character" w:styleId="WW8Num14z2">
    <w:name w:val="WW8Num14z2"/>
    <w:link w:val="WW8Num14z21"/>
    <w:qFormat/>
    <w:rPr/>
  </w:style>
  <w:style w:type="character" w:styleId="Style22">
    <w:name w:val="Текст выноски Знак"/>
    <w:link w:val="117"/>
    <w:qFormat/>
    <w:rPr>
      <w:rFonts w:ascii="Segoe UI" w:hAnsi="Segoe UI"/>
      <w:sz w:val="18"/>
    </w:rPr>
  </w:style>
  <w:style w:type="character" w:styleId="WW8Num7z8">
    <w:name w:val="WW8Num7z8"/>
    <w:link w:val="WW8Num7z81"/>
    <w:qFormat/>
    <w:rPr/>
  </w:style>
  <w:style w:type="character" w:styleId="WW8Num1z2">
    <w:name w:val="WW8Num1z2"/>
    <w:link w:val="WW8Num1z21"/>
    <w:qFormat/>
    <w:rPr/>
  </w:style>
  <w:style w:type="character" w:styleId="Caption11">
    <w:name w:val="Caption11"/>
    <w:link w:val="Caption112"/>
    <w:qFormat/>
    <w:rPr>
      <w:i/>
      <w:sz w:val="24"/>
    </w:rPr>
  </w:style>
  <w:style w:type="character" w:styleId="2">
    <w:name w:val="Заголовок 2 Знак"/>
    <w:link w:val="211"/>
    <w:qFormat/>
    <w:rPr>
      <w:rFonts w:ascii="Times New Roman" w:hAnsi="Times New Roman"/>
      <w:b/>
      <w:sz w:val="36"/>
    </w:rPr>
  </w:style>
  <w:style w:type="character" w:styleId="WW8Num19z3">
    <w:name w:val="WW8Num19z3"/>
    <w:link w:val="WW8Num19z31"/>
    <w:qFormat/>
    <w:rPr/>
  </w:style>
  <w:style w:type="character" w:styleId="WW8Num19z0">
    <w:name w:val="WW8Num19z0"/>
    <w:link w:val="WW8Num19z01"/>
    <w:qFormat/>
    <w:rPr/>
  </w:style>
  <w:style w:type="character" w:styleId="WW8Num3z6">
    <w:name w:val="WW8Num3z6"/>
    <w:link w:val="WW8Num3z61"/>
    <w:qFormat/>
    <w:rPr/>
  </w:style>
  <w:style w:type="character" w:styleId="Contents8">
    <w:name w:val="Contents 8"/>
    <w:qFormat/>
    <w:rPr>
      <w:rFonts w:ascii="XO Thames" w:hAnsi="XO Thames"/>
      <w:sz w:val="28"/>
    </w:rPr>
  </w:style>
  <w:style w:type="character" w:styleId="WW8Num8z0">
    <w:name w:val="WW8Num8z0"/>
    <w:link w:val="WW8Num8z01"/>
    <w:qFormat/>
    <w:rPr/>
  </w:style>
  <w:style w:type="character" w:styleId="WW8Num10z2">
    <w:name w:val="WW8Num10z2"/>
    <w:link w:val="WW8Num10z21"/>
    <w:qFormat/>
    <w:rPr/>
  </w:style>
  <w:style w:type="character" w:styleId="WW8Num15z4">
    <w:name w:val="WW8Num15z4"/>
    <w:link w:val="WW8Num15z41"/>
    <w:qFormat/>
    <w:rPr/>
  </w:style>
  <w:style w:type="character" w:styleId="WW8Num13z2">
    <w:name w:val="WW8Num13z2"/>
    <w:link w:val="WW8Num13z21"/>
    <w:qFormat/>
    <w:rPr/>
  </w:style>
  <w:style w:type="character" w:styleId="FootnoteReference1">
    <w:name w:val="Footnote Reference1"/>
    <w:link w:val="FootnoteReference14"/>
    <w:qFormat/>
    <w:rPr>
      <w:vertAlign w:val="superscript"/>
    </w:rPr>
  </w:style>
  <w:style w:type="character" w:styleId="EndnoteReference11">
    <w:name w:val="Endnote Reference11"/>
    <w:link w:val="EndnoteReference111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WW8Num12z0">
    <w:name w:val="WW8Num12z0"/>
    <w:link w:val="WW8Num12z01"/>
    <w:qFormat/>
    <w:rPr/>
  </w:style>
  <w:style w:type="character" w:styleId="EndnoteReference9">
    <w:name w:val="Endnote Reference9"/>
    <w:link w:val="EndnoteReference91"/>
    <w:qFormat/>
    <w:rPr>
      <w:vertAlign w:val="superscript"/>
    </w:rPr>
  </w:style>
  <w:style w:type="character" w:styleId="WW8Num16z4">
    <w:name w:val="WW8Num16z4"/>
    <w:link w:val="WW8Num16z41"/>
    <w:qFormat/>
    <w:rPr/>
  </w:style>
  <w:style w:type="character" w:styleId="WW8Num9z2">
    <w:name w:val="WW8Num9z2"/>
    <w:link w:val="WW8Num9z21"/>
    <w:qFormat/>
    <w:rPr>
      <w:rFonts w:ascii="Wingdings" w:hAnsi="Wingdings"/>
    </w:rPr>
  </w:style>
  <w:style w:type="character" w:styleId="WW8Num3z2">
    <w:name w:val="WW8Num3z2"/>
    <w:link w:val="WW8Num3z21"/>
    <w:qFormat/>
    <w:rPr/>
  </w:style>
  <w:style w:type="character" w:styleId="FootnoteReference9">
    <w:name w:val="Footnote Reference9"/>
    <w:link w:val="FootnoteReference91"/>
    <w:qFormat/>
    <w:rPr>
      <w:vertAlign w:val="superscript"/>
    </w:rPr>
  </w:style>
  <w:style w:type="character" w:styleId="Style23">
    <w:name w:val="Указатель"/>
    <w:link w:val="1111112"/>
    <w:qFormat/>
    <w:rPr/>
  </w:style>
  <w:style w:type="character" w:styleId="WW8Num5z2">
    <w:name w:val="WW8Num5z2"/>
    <w:link w:val="WW8Num5z21"/>
    <w:qFormat/>
    <w:rPr/>
  </w:style>
  <w:style w:type="character" w:styleId="WW8Num19z4">
    <w:name w:val="WW8Num19z4"/>
    <w:link w:val="WW8Num19z41"/>
    <w:qFormat/>
    <w:rPr/>
  </w:style>
  <w:style w:type="character" w:styleId="WW8Num7z1">
    <w:name w:val="WW8Num7z1"/>
    <w:link w:val="WW8Num7z11"/>
    <w:qFormat/>
    <w:rPr/>
  </w:style>
  <w:style w:type="character" w:styleId="WW8Num18z6">
    <w:name w:val="WW8Num18z6"/>
    <w:link w:val="WW8Num18z61"/>
    <w:qFormat/>
    <w:rPr/>
  </w:style>
  <w:style w:type="character" w:styleId="Contents5">
    <w:name w:val="Contents 5"/>
    <w:qFormat/>
    <w:rPr>
      <w:rFonts w:ascii="XO Thames" w:hAnsi="XO Thames"/>
      <w:sz w:val="28"/>
    </w:rPr>
  </w:style>
  <w:style w:type="character" w:styleId="WW8Num11z1">
    <w:name w:val="WW8Num11z1"/>
    <w:link w:val="WW8Num11z11"/>
    <w:qFormat/>
    <w:rPr/>
  </w:style>
  <w:style w:type="character" w:styleId="Endnote">
    <w:name w:val="Endnote"/>
    <w:qFormat/>
    <w:rPr>
      <w:sz w:val="20"/>
    </w:rPr>
  </w:style>
  <w:style w:type="character" w:styleId="WW8Num8z8">
    <w:name w:val="WW8Num8z8"/>
    <w:link w:val="WW8Num8z81"/>
    <w:qFormat/>
    <w:rPr/>
  </w:style>
  <w:style w:type="character" w:styleId="WW8Num3z5">
    <w:name w:val="WW8Num3z5"/>
    <w:link w:val="WW8Num3z51"/>
    <w:qFormat/>
    <w:rPr/>
  </w:style>
  <w:style w:type="character" w:styleId="WW8Num3z0">
    <w:name w:val="WW8Num3z0"/>
    <w:link w:val="WW8Num3z01"/>
    <w:qFormat/>
    <w:rPr>
      <w:b w:val="false"/>
    </w:rPr>
  </w:style>
  <w:style w:type="character" w:styleId="EndnoteReference6">
    <w:name w:val="Endnote Reference6"/>
    <w:link w:val="EndnoteReference61"/>
    <w:qFormat/>
    <w:rPr>
      <w:vertAlign w:val="superscript"/>
    </w:rPr>
  </w:style>
  <w:style w:type="character" w:styleId="WW8Num18z8">
    <w:name w:val="WW8Num18z8"/>
    <w:link w:val="WW8Num18z81"/>
    <w:qFormat/>
    <w:rPr/>
  </w:style>
  <w:style w:type="character" w:styleId="WW8Num6z1">
    <w:name w:val="WW8Num6z1"/>
    <w:link w:val="WW8Num6z11"/>
    <w:qFormat/>
    <w:rPr/>
  </w:style>
  <w:style w:type="character" w:styleId="WW8Num14z6">
    <w:name w:val="WW8Num14z6"/>
    <w:link w:val="WW8Num14z61"/>
    <w:qFormat/>
    <w:rPr/>
  </w:style>
  <w:style w:type="character" w:styleId="FootnoteReference5">
    <w:name w:val="Footnote Reference5"/>
    <w:link w:val="FootnoteReference51"/>
    <w:qFormat/>
    <w:rPr>
      <w:vertAlign w:val="superscript"/>
    </w:rPr>
  </w:style>
  <w:style w:type="character" w:styleId="WW8Num11z0">
    <w:name w:val="WW8Num11z0"/>
    <w:link w:val="WW8Num11z01"/>
    <w:qFormat/>
    <w:rPr>
      <w:b w:val="false"/>
    </w:rPr>
  </w:style>
  <w:style w:type="character" w:styleId="WW8Num14z5">
    <w:name w:val="WW8Num14z5"/>
    <w:link w:val="WW8Num14z51"/>
    <w:qFormat/>
    <w:rPr/>
  </w:style>
  <w:style w:type="character" w:styleId="WW8Num4z3">
    <w:name w:val="WW8Num4z3"/>
    <w:link w:val="WW8Num4z31"/>
    <w:qFormat/>
    <w:rPr/>
  </w:style>
  <w:style w:type="character" w:styleId="WW8Num10z7">
    <w:name w:val="WW8Num10z7"/>
    <w:link w:val="WW8Num10z71"/>
    <w:qFormat/>
    <w:rPr/>
  </w:style>
  <w:style w:type="character" w:styleId="WW8Num1z4">
    <w:name w:val="WW8Num1z4"/>
    <w:link w:val="WW8Num1z41"/>
    <w:qFormat/>
    <w:rPr/>
  </w:style>
  <w:style w:type="character" w:styleId="WW8Num2z7">
    <w:name w:val="WW8Num2z7"/>
    <w:link w:val="WW8Num2z71"/>
    <w:qFormat/>
    <w:rPr/>
  </w:style>
  <w:style w:type="character" w:styleId="FootnoteReference13">
    <w:name w:val="Footnote Reference13"/>
    <w:link w:val="FootnoteReference131"/>
    <w:qFormat/>
    <w:rPr>
      <w:vertAlign w:val="superscript"/>
    </w:rPr>
  </w:style>
  <w:style w:type="character" w:styleId="WW8Num3z8">
    <w:name w:val="WW8Num3z8"/>
    <w:link w:val="WW8Num3z81"/>
    <w:qFormat/>
    <w:rPr/>
  </w:style>
  <w:style w:type="character" w:styleId="WW8Num12z8">
    <w:name w:val="WW8Num12z8"/>
    <w:link w:val="WW8Num12z81"/>
    <w:qFormat/>
    <w:rPr/>
  </w:style>
  <w:style w:type="character" w:styleId="Header1">
    <w:name w:val="Header1"/>
    <w:qFormat/>
    <w:rPr/>
  </w:style>
  <w:style w:type="character" w:styleId="WW8Num19z1">
    <w:name w:val="WW8Num19z1"/>
    <w:link w:val="WW8Num19z11"/>
    <w:qFormat/>
    <w:rPr/>
  </w:style>
  <w:style w:type="character" w:styleId="EndnoteReference12">
    <w:name w:val="Endnote Reference12"/>
    <w:link w:val="EndnoteReference121"/>
    <w:qFormat/>
    <w:rPr>
      <w:vertAlign w:val="superscript"/>
    </w:rPr>
  </w:style>
  <w:style w:type="character" w:styleId="Caption12">
    <w:name w:val="Caption12"/>
    <w:link w:val="Caption13"/>
    <w:qFormat/>
    <w:rPr>
      <w:i/>
      <w:sz w:val="24"/>
    </w:rPr>
  </w:style>
  <w:style w:type="character" w:styleId="WW8Num14z7">
    <w:name w:val="WW8Num14z7"/>
    <w:link w:val="WW8Num14z71"/>
    <w:qFormat/>
    <w:rPr/>
  </w:style>
  <w:style w:type="character" w:styleId="FootnoteReference12">
    <w:name w:val="Footnote Reference12"/>
    <w:link w:val="FootnoteReference121"/>
    <w:qFormat/>
    <w:rPr>
      <w:vertAlign w:val="superscript"/>
    </w:rPr>
  </w:style>
  <w:style w:type="character" w:styleId="Subtitle1">
    <w:name w:val="Subtitle1"/>
    <w:qFormat/>
    <w:rPr>
      <w:rFonts w:ascii="XO Thames" w:hAnsi="XO Thames"/>
      <w:i/>
      <w:sz w:val="24"/>
    </w:rPr>
  </w:style>
  <w:style w:type="character" w:styleId="WW8Num14z1">
    <w:name w:val="WW8Num14z1"/>
    <w:link w:val="WW8Num14z11"/>
    <w:qFormat/>
    <w:rPr/>
  </w:style>
  <w:style w:type="character" w:styleId="WW8Num4z6">
    <w:name w:val="WW8Num4z6"/>
    <w:link w:val="WW8Num4z61"/>
    <w:qFormat/>
    <w:rPr/>
  </w:style>
  <w:style w:type="character" w:styleId="WW8Num4z8">
    <w:name w:val="WW8Num4z8"/>
    <w:link w:val="WW8Num4z81"/>
    <w:qFormat/>
    <w:rPr/>
  </w:style>
  <w:style w:type="character" w:styleId="EndnoteReference5">
    <w:name w:val="Endnote Reference5"/>
    <w:link w:val="EndnoteReference51"/>
    <w:qFormat/>
    <w:rPr>
      <w:vertAlign w:val="superscript"/>
    </w:rPr>
  </w:style>
  <w:style w:type="character" w:styleId="WW8Num17z2">
    <w:name w:val="WW8Num17z2"/>
    <w:link w:val="WW8Num17z21"/>
    <w:qFormat/>
    <w:rPr/>
  </w:style>
  <w:style w:type="character" w:styleId="Style24">
    <w:name w:val="Заголовок"/>
    <w:link w:val="1111111"/>
    <w:qFormat/>
    <w:rPr>
      <w:rFonts w:ascii="Liberation Sans" w:hAnsi="Liberation Sans"/>
      <w:sz w:val="28"/>
    </w:rPr>
  </w:style>
  <w:style w:type="character" w:styleId="WW8Num20z0">
    <w:name w:val="WW8Num20z0"/>
    <w:link w:val="WW8Num20z01"/>
    <w:qFormat/>
    <w:rPr>
      <w:rFonts w:ascii="Symbol" w:hAnsi="Symbol"/>
    </w:rPr>
  </w:style>
  <w:style w:type="character" w:styleId="WW8Num16z3">
    <w:name w:val="WW8Num16z3"/>
    <w:link w:val="WW8Num16z31"/>
    <w:qFormat/>
    <w:rPr/>
  </w:style>
  <w:style w:type="character" w:styleId="Title1">
    <w:name w:val="Title1"/>
    <w:qFormat/>
    <w:rPr>
      <w:rFonts w:ascii="XO Thames" w:hAnsi="XO Thames"/>
      <w:b/>
      <w:caps/>
      <w:sz w:val="40"/>
    </w:rPr>
  </w:style>
  <w:style w:type="character" w:styleId="WW8Num12z6">
    <w:name w:val="WW8Num12z6"/>
    <w:link w:val="WW8Num12z61"/>
    <w:qFormat/>
    <w:rPr/>
  </w:style>
  <w:style w:type="character" w:styleId="Heading41">
    <w:name w:val="Heading 41"/>
    <w:qFormat/>
    <w:rPr>
      <w:rFonts w:ascii="XO Thames" w:hAnsi="XO Thames"/>
      <w:b/>
      <w:sz w:val="24"/>
    </w:rPr>
  </w:style>
  <w:style w:type="character" w:styleId="WW8Num10z5">
    <w:name w:val="WW8Num10z5"/>
    <w:link w:val="WW8Num10z51"/>
    <w:qFormat/>
    <w:rPr/>
  </w:style>
  <w:style w:type="character" w:styleId="FootnoteReference6">
    <w:name w:val="Footnote Reference6"/>
    <w:link w:val="FootnoteReference61"/>
    <w:qFormat/>
    <w:rPr>
      <w:vertAlign w:val="superscript"/>
    </w:rPr>
  </w:style>
  <w:style w:type="character" w:styleId="WW8Num8z7">
    <w:name w:val="WW8Num8z7"/>
    <w:link w:val="WW8Num8z71"/>
    <w:qFormat/>
    <w:rPr/>
  </w:style>
  <w:style w:type="character" w:styleId="EndnoteReference8">
    <w:name w:val="Endnote Reference8"/>
    <w:link w:val="EndnoteReference81"/>
    <w:qFormat/>
    <w:rPr>
      <w:vertAlign w:val="superscript"/>
    </w:rPr>
  </w:style>
  <w:style w:type="character" w:styleId="WW8Num10z1">
    <w:name w:val="WW8Num10z1"/>
    <w:link w:val="WW8Num10z11"/>
    <w:qFormat/>
    <w:rPr/>
  </w:style>
  <w:style w:type="character" w:styleId="WW8Num8z3">
    <w:name w:val="WW8Num8z3"/>
    <w:link w:val="WW8Num8z31"/>
    <w:qFormat/>
    <w:rPr/>
  </w:style>
  <w:style w:type="character" w:styleId="WW8Num17z7">
    <w:name w:val="WW8Num17z7"/>
    <w:link w:val="WW8Num17z71"/>
    <w:qFormat/>
    <w:rPr/>
  </w:style>
  <w:style w:type="character" w:styleId="Caption1111">
    <w:name w:val="Caption1111"/>
    <w:link w:val="Caption11112"/>
    <w:qFormat/>
    <w:rPr>
      <w:i/>
      <w:sz w:val="24"/>
    </w:rPr>
  </w:style>
  <w:style w:type="character" w:styleId="Emphasis">
    <w:name w:val="Emphasis"/>
    <w:qFormat/>
    <w:rPr>
      <w:i/>
    </w:rPr>
  </w:style>
  <w:style w:type="character" w:styleId="WW8Num2z0">
    <w:name w:val="WW8Num2z0"/>
    <w:link w:val="WW8Num2z01"/>
    <w:qFormat/>
    <w:rPr>
      <w:rFonts w:ascii="Symbol" w:hAnsi="Symbol"/>
      <w:color w:val="623B2A"/>
      <w:sz w:val="21"/>
    </w:rPr>
  </w:style>
  <w:style w:type="character" w:styleId="WW8Num1z6">
    <w:name w:val="WW8Num1z6"/>
    <w:link w:val="WW8Num1z61"/>
    <w:qFormat/>
    <w:rPr/>
  </w:style>
  <w:style w:type="character" w:styleId="Caption111111111">
    <w:name w:val="Caption111111111"/>
    <w:link w:val="Caption1111111112"/>
    <w:qFormat/>
    <w:rPr>
      <w:i/>
      <w:sz w:val="24"/>
    </w:rPr>
  </w:style>
  <w:style w:type="character" w:styleId="WW8Num13z4">
    <w:name w:val="WW8Num13z4"/>
    <w:link w:val="WW8Num13z41"/>
    <w:qFormat/>
    <w:rPr/>
  </w:style>
  <w:style w:type="character" w:styleId="WW8Num11z4">
    <w:name w:val="WW8Num11z4"/>
    <w:link w:val="WW8Num11z41"/>
    <w:qFormat/>
    <w:rPr/>
  </w:style>
  <w:style w:type="character" w:styleId="Heading21">
    <w:name w:val="Heading 21"/>
    <w:qFormat/>
    <w:rPr>
      <w:rFonts w:ascii="Times New Roman" w:hAnsi="Times New Roman"/>
      <w:b/>
      <w:sz w:val="36"/>
    </w:rPr>
  </w:style>
  <w:style w:type="character" w:styleId="WW8Num4z0">
    <w:name w:val="WW8Num4z0"/>
    <w:link w:val="WW8Num4z01"/>
    <w:qFormat/>
    <w:rPr/>
  </w:style>
  <w:style w:type="character" w:styleId="WW8Num1z8">
    <w:name w:val="WW8Num1z8"/>
    <w:link w:val="WW8Num1z81"/>
    <w:qFormat/>
    <w:rPr/>
  </w:style>
  <w:style w:type="character" w:styleId="WW8Num3z4">
    <w:name w:val="WW8Num3z4"/>
    <w:link w:val="WW8Num3z41"/>
    <w:qFormat/>
    <w:rPr/>
  </w:style>
  <w:style w:type="character" w:styleId="WW8Num7z7">
    <w:name w:val="WW8Num7z7"/>
    <w:link w:val="WW8Num7z71"/>
    <w:qFormat/>
    <w:rPr/>
  </w:style>
  <w:style w:type="character" w:styleId="WW8Num12z1">
    <w:name w:val="WW8Num12z1"/>
    <w:link w:val="WW8Num12z11"/>
    <w:qFormat/>
    <w:rPr/>
  </w:style>
  <w:style w:type="character" w:styleId="WW8Num19z8">
    <w:name w:val="WW8Num19z8"/>
    <w:link w:val="WW8Num19z81"/>
    <w:qFormat/>
    <w:rPr/>
  </w:style>
  <w:style w:type="character" w:styleId="WW8Num12z5">
    <w:name w:val="WW8Num12z5"/>
    <w:link w:val="WW8Num12z51"/>
    <w:qFormat/>
    <w:rPr/>
  </w:style>
  <w:style w:type="character" w:styleId="ConsPlusNonformat1">
    <w:name w:val="ConsPlusNonformat"/>
    <w:link w:val="ConsPlusNonformat12"/>
    <w:qFormat/>
    <w:rPr>
      <w:rFonts w:ascii="Courier New" w:hAnsi="Courier New"/>
      <w:color w:val="000000"/>
      <w:sz w:val="16"/>
    </w:rPr>
  </w:style>
  <w:style w:type="character" w:styleId="WW8Num18z5">
    <w:name w:val="WW8Num18z5"/>
    <w:link w:val="WW8Num18z51"/>
    <w:qFormat/>
    <w:rPr/>
  </w:style>
  <w:style w:type="character" w:styleId="WW8Num5z1">
    <w:name w:val="WW8Num5z1"/>
    <w:link w:val="WW8Num5z11"/>
    <w:qFormat/>
    <w:rPr/>
  </w:style>
  <w:style w:type="paragraph" w:styleId="1">
    <w:name w:val="Заголовок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pacing w:before="120" w:after="120"/>
    </w:pPr>
    <w:rPr>
      <w:i/>
      <w:sz w:val="24"/>
    </w:rPr>
  </w:style>
  <w:style w:type="paragraph" w:styleId="11">
    <w:name w:val="Указатель1"/>
    <w:basedOn w:val="Normal"/>
    <w:qFormat/>
    <w:pPr>
      <w:suppressLineNumbers/>
    </w:pPr>
    <w:rPr>
      <w:rFonts w:cs="Arial"/>
    </w:rPr>
  </w:style>
  <w:style w:type="paragraph" w:styleId="111">
    <w:name w:val="Заголовок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112">
    <w:name w:val="Указатель11"/>
    <w:basedOn w:val="Normal"/>
    <w:qFormat/>
    <w:pPr>
      <w:suppressLineNumbers/>
    </w:pPr>
    <w:rPr>
      <w:rFonts w:cs="Arial"/>
    </w:rPr>
  </w:style>
  <w:style w:type="paragraph" w:styleId="1111">
    <w:name w:val="Заголовок1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1112">
    <w:name w:val="Указатель111"/>
    <w:basedOn w:val="Normal"/>
    <w:qFormat/>
    <w:pPr>
      <w:suppressLineNumbers/>
    </w:pPr>
    <w:rPr>
      <w:rFonts w:cs="Arial"/>
    </w:rPr>
  </w:style>
  <w:style w:type="paragraph" w:styleId="11111">
    <w:name w:val="Заголовок11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11112">
    <w:name w:val="Указатель1111"/>
    <w:basedOn w:val="Normal"/>
    <w:qFormat/>
    <w:pPr>
      <w:suppressLineNumbers/>
    </w:pPr>
    <w:rPr>
      <w:rFonts w:cs="Arial"/>
    </w:rPr>
  </w:style>
  <w:style w:type="paragraph" w:styleId="111111">
    <w:name w:val="Заголовок111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111112">
    <w:name w:val="Указатель11111"/>
    <w:basedOn w:val="Normal"/>
    <w:qFormat/>
    <w:pPr>
      <w:suppressLineNumbers/>
    </w:pPr>
    <w:rPr>
      <w:rFonts w:cs="Arial"/>
    </w:rPr>
  </w:style>
  <w:style w:type="paragraph" w:styleId="1111111">
    <w:name w:val="Заголовок111111"/>
    <w:basedOn w:val="Normal"/>
    <w:next w:val="BodyText"/>
    <w:link w:val="Style24"/>
    <w:qFormat/>
    <w:pPr>
      <w:keepNext w:val="true"/>
      <w:spacing w:before="240" w:after="120"/>
    </w:pPr>
    <w:rPr>
      <w:rFonts w:ascii="Liberation Sans" w:hAnsi="Liberation Sans"/>
      <w:sz w:val="28"/>
    </w:rPr>
  </w:style>
  <w:style w:type="paragraph" w:styleId="1111112">
    <w:name w:val="Указатель111111"/>
    <w:basedOn w:val="Normal"/>
    <w:link w:val="Style23"/>
    <w:qFormat/>
    <w:pPr/>
    <w:rPr/>
  </w:style>
  <w:style w:type="paragraph" w:styleId="WW8Num3z31">
    <w:name w:val="WW8Num3z31"/>
    <w:link w:val="WW8Num3z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3z51">
    <w:name w:val="WW8Num13z51"/>
    <w:link w:val="WW8Num13z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4z01">
    <w:name w:val="WW8Num14z01"/>
    <w:link w:val="WW8Num14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FootnoteReference71">
    <w:name w:val="Footnote Reference71"/>
    <w:link w:val="FootnoteReference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8z41">
    <w:name w:val="WW8Num8z41"/>
    <w:link w:val="WW8Num8z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12">
    <w:name w:val="Нижний колонтитул Знак1"/>
    <w:basedOn w:val="15"/>
    <w:link w:val="Style9"/>
    <w:qFormat/>
    <w:pPr/>
    <w:rPr/>
  </w:style>
  <w:style w:type="paragraph" w:styleId="TOC2">
    <w:name w:val="TOC 2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200" w:right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WW8Num2z11">
    <w:name w:val="WW8Num2z11"/>
    <w:link w:val="WW8Num2z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6z21">
    <w:name w:val="WW8Num16z21"/>
    <w:link w:val="WW8Num16z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9z71">
    <w:name w:val="WW8Num19z71"/>
    <w:link w:val="WW8Num19z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7z41">
    <w:name w:val="WW8Num17z41"/>
    <w:link w:val="WW8Num17z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13">
    <w:name w:val="Символ сноски1"/>
    <w:link w:val="Style1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18z21">
    <w:name w:val="WW8Num18z21"/>
    <w:link w:val="WW8Num18z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TOC4">
    <w:name w:val="TOC 4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600" w:right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14">
    <w:name w:val="Символ концевой сноски1"/>
    <w:link w:val="Style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9z11">
    <w:name w:val="WW8Num9z11"/>
    <w:link w:val="WW8Num9z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ourier New" w:hAnsi="Courier New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9z01">
    <w:name w:val="WW8Num9z01"/>
    <w:link w:val="WW8Num9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Symbol" w:hAnsi="Symbol" w:eastAsia="NSimSun" w:cs="Arial"/>
      <w:color w:val="623B2A"/>
      <w:spacing w:val="0"/>
      <w:kern w:val="0"/>
      <w:sz w:val="21"/>
      <w:szCs w:val="20"/>
      <w:lang w:val="ru-RU" w:eastAsia="zh-CN" w:bidi="hi-IN"/>
    </w:rPr>
  </w:style>
  <w:style w:type="paragraph" w:styleId="WW8Num11z71">
    <w:name w:val="WW8Num11z71"/>
    <w:link w:val="WW8Num11z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EndnoteReference21">
    <w:name w:val="Endnote Reference21"/>
    <w:link w:val="EndnoteReference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TOC6">
    <w:name w:val="TOC 6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1000" w:right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WW8Num12z41">
    <w:name w:val="WW8Num12z41"/>
    <w:link w:val="WW8Num12z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7z11">
    <w:name w:val="WW8Num17z11"/>
    <w:link w:val="WW8Num17z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2z21">
    <w:name w:val="WW8Num12z21"/>
    <w:link w:val="WW8Num12z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TOC7">
    <w:name w:val="TOC 7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1200" w:right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WW8Num2z31">
    <w:name w:val="WW8Num2z31"/>
    <w:link w:val="WW8Num2z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3z31">
    <w:name w:val="WW8Num13z31"/>
    <w:link w:val="WW8Num13z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7z31">
    <w:name w:val="WW8Num17z31"/>
    <w:link w:val="WW8Num17z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6z81">
    <w:name w:val="WW8Num6z81"/>
    <w:link w:val="WW8Num6z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7z81">
    <w:name w:val="WW8Num17z81"/>
    <w:link w:val="WW8Num17z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7z61">
    <w:name w:val="WW8Num17z61"/>
    <w:link w:val="WW8Num17z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5z71">
    <w:name w:val="WW8Num15z71"/>
    <w:link w:val="WW8Num15z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6z51">
    <w:name w:val="WW8Num16z51"/>
    <w:link w:val="WW8Num16z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15">
    <w:name w:val="Основной шрифт абзаца1"/>
    <w:link w:val="Style1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8z11">
    <w:name w:val="WW8Num8z11"/>
    <w:link w:val="WW8Num8z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5z61">
    <w:name w:val="WW8Num15z61"/>
    <w:link w:val="WW8Num15z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EndnoteReference131">
    <w:name w:val="Endnote Reference131"/>
    <w:link w:val="EndnoteReference1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20z11">
    <w:name w:val="WW8Num20z11"/>
    <w:link w:val="WW8Num20z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ourier New" w:hAnsi="Courier New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0z41">
    <w:name w:val="WW8Num10z41"/>
    <w:link w:val="WW8Num10z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7z61">
    <w:name w:val="WW8Num7z61"/>
    <w:link w:val="WW8Num7z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Caption1111112">
    <w:name w:val="Caption1111112"/>
    <w:basedOn w:val="Normal"/>
    <w:link w:val="Caption111111"/>
    <w:qFormat/>
    <w:pPr>
      <w:spacing w:before="120" w:after="120"/>
    </w:pPr>
    <w:rPr>
      <w:i/>
      <w:sz w:val="24"/>
    </w:rPr>
  </w:style>
  <w:style w:type="paragraph" w:styleId="WW8Num3z11">
    <w:name w:val="WW8Num3z11"/>
    <w:link w:val="WW8Num3z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7z01">
    <w:name w:val="WW8Num17z01"/>
    <w:link w:val="WW8Num17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5z01">
    <w:name w:val="WW8Num15z01"/>
    <w:link w:val="WW8Num15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0z01">
    <w:name w:val="WW8Num10z01"/>
    <w:link w:val="WW8Num10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16">
    <w:name w:val="Верхний колонтитул Знак1"/>
    <w:basedOn w:val="15"/>
    <w:link w:val="Style13"/>
    <w:qFormat/>
    <w:pPr/>
    <w:rPr/>
  </w:style>
  <w:style w:type="paragraph" w:styleId="Caption1112">
    <w:name w:val="Caption1112"/>
    <w:basedOn w:val="Normal"/>
    <w:link w:val="Caption111"/>
    <w:qFormat/>
    <w:pPr>
      <w:spacing w:before="120" w:after="120"/>
    </w:pPr>
    <w:rPr>
      <w:i/>
      <w:sz w:val="24"/>
    </w:rPr>
  </w:style>
  <w:style w:type="paragraph" w:styleId="17">
    <w:name w:val="Текст сноски Знак1"/>
    <w:link w:val="Style1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5z71">
    <w:name w:val="WW8Num5z71"/>
    <w:link w:val="WW8Num5z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8z61">
    <w:name w:val="WW8Num8z61"/>
    <w:link w:val="WW8Num8z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EndnoteReference41">
    <w:name w:val="Endnote Reference41"/>
    <w:link w:val="EndnoteReference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5z51">
    <w:name w:val="WW8Num5z51"/>
    <w:link w:val="WW8Num5z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2z81">
    <w:name w:val="WW8Num2z81"/>
    <w:link w:val="WW8Num2z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2z41">
    <w:name w:val="WW8Num2z41"/>
    <w:link w:val="WW8Num2z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0z81">
    <w:name w:val="WW8Num10z81"/>
    <w:link w:val="WW8Num10z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6z51">
    <w:name w:val="WW8Num6z51"/>
    <w:link w:val="WW8Num6z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z51">
    <w:name w:val="WW8Num1z51"/>
    <w:link w:val="WW8Num1z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Default1">
    <w:name w:val="Default1"/>
    <w:link w:val="Default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4"/>
      <w:szCs w:val="20"/>
      <w:lang w:val="ru-RU" w:eastAsia="zh-CN" w:bidi="hi-IN"/>
    </w:rPr>
  </w:style>
  <w:style w:type="paragraph" w:styleId="FootnoteReference31">
    <w:name w:val="Footnote Reference31"/>
    <w:link w:val="FootnoteReference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19z21">
    <w:name w:val="WW8Num19z21"/>
    <w:link w:val="WW8Num19z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18">
    <w:name w:val="Текст выноски1"/>
    <w:basedOn w:val="Normal"/>
    <w:link w:val="Style15"/>
    <w:qFormat/>
    <w:pPr>
      <w:spacing w:lineRule="auto" w:line="240" w:before="0" w:after="0"/>
    </w:pPr>
    <w:rPr>
      <w:rFonts w:ascii="Segoe UI" w:hAnsi="Segoe UI"/>
      <w:sz w:val="18"/>
    </w:rPr>
  </w:style>
  <w:style w:type="paragraph" w:styleId="WW8Num2z61">
    <w:name w:val="WW8Num2z61"/>
    <w:link w:val="WW8Num2z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FootnoteReference81">
    <w:name w:val="Footnote Reference81"/>
    <w:link w:val="FootnoteReference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5z01">
    <w:name w:val="WW8Num5z01"/>
    <w:link w:val="WW8Num5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5z41">
    <w:name w:val="WW8Num5z41"/>
    <w:link w:val="WW8Num5z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8z31">
    <w:name w:val="WW8Num18z31"/>
    <w:link w:val="WW8Num18z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19">
    <w:name w:val="Колонтитул1"/>
    <w:link w:val="Style18"/>
    <w:qFormat/>
    <w:pPr>
      <w:widowControl/>
      <w:suppressAutoHyphens w:val="true"/>
      <w:bidi w:val="0"/>
      <w:spacing w:lineRule="auto" w:line="240" w:before="0" w:after="0"/>
      <w:ind w:hanging="0" w:left="0" w:right="0"/>
      <w:jc w:val="both"/>
    </w:pPr>
    <w:rPr>
      <w:rFonts w:ascii="XO Thames" w:hAnsi="XO Thames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21">
    <w:name w:val="Колонтитул2"/>
    <w:basedOn w:val="Normal"/>
    <w:qFormat/>
    <w:pPr/>
    <w:rPr/>
  </w:style>
  <w:style w:type="paragraph" w:styleId="3">
    <w:name w:val="Колонтитул3"/>
    <w:basedOn w:val="Normal"/>
    <w:qFormat/>
    <w:pPr/>
    <w:rPr/>
  </w:style>
  <w:style w:type="paragraph" w:styleId="4">
    <w:name w:val="Колонтитул4"/>
    <w:basedOn w:val="Normal"/>
    <w:qFormat/>
    <w:pPr/>
    <w:rPr/>
  </w:style>
  <w:style w:type="paragraph" w:styleId="5">
    <w:name w:val="Колонтитул5"/>
    <w:basedOn w:val="Normal"/>
    <w:qFormat/>
    <w:pPr/>
    <w:rPr/>
  </w:style>
  <w:style w:type="paragraph" w:styleId="6">
    <w:name w:val="Колонтитул6"/>
    <w:basedOn w:val="Normal"/>
    <w:qFormat/>
    <w:pPr/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WW8Num1z71">
    <w:name w:val="WW8Num1z71"/>
    <w:link w:val="WW8Num1z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5z31">
    <w:name w:val="WW8Num5z31"/>
    <w:link w:val="WW8Num5z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EndnoteReference31">
    <w:name w:val="Endnote Reference31"/>
    <w:link w:val="EndnoteReference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11z31">
    <w:name w:val="WW8Num11z31"/>
    <w:link w:val="WW8Num11z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6z41">
    <w:name w:val="WW8Num6z41"/>
    <w:link w:val="WW8Num6z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Caption111111111112">
    <w:name w:val="Caption111111111112"/>
    <w:basedOn w:val="Normal"/>
    <w:link w:val="Caption11111111111"/>
    <w:qFormat/>
    <w:pPr>
      <w:spacing w:before="120" w:after="120"/>
    </w:pPr>
    <w:rPr>
      <w:i/>
      <w:sz w:val="24"/>
    </w:rPr>
  </w:style>
  <w:style w:type="paragraph" w:styleId="WW8Num1z01">
    <w:name w:val="WW8Num1z01"/>
    <w:link w:val="WW8Num1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FootnoteReference111">
    <w:name w:val="Footnote Reference111"/>
    <w:link w:val="FootnoteReference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11z21">
    <w:name w:val="WW8Num11z21"/>
    <w:link w:val="WW8Num11z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Caption1111111111112">
    <w:name w:val="Caption1111111111112"/>
    <w:basedOn w:val="Normal"/>
    <w:link w:val="Caption111111111111"/>
    <w:qFormat/>
    <w:pPr>
      <w:spacing w:before="120" w:after="120"/>
    </w:pPr>
    <w:rPr>
      <w:i/>
      <w:sz w:val="24"/>
    </w:rPr>
  </w:style>
  <w:style w:type="paragraph" w:styleId="Caption11111111111111">
    <w:name w:val="Caption11111111111111"/>
    <w:basedOn w:val="Normal"/>
    <w:link w:val="Caption1111111111111"/>
    <w:qFormat/>
    <w:pPr>
      <w:spacing w:before="120" w:after="120"/>
    </w:pPr>
    <w:rPr>
      <w:i/>
      <w:sz w:val="24"/>
    </w:rPr>
  </w:style>
  <w:style w:type="paragraph" w:styleId="WW8Num13z71">
    <w:name w:val="WW8Num13z71"/>
    <w:link w:val="WW8Num13z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3z01">
    <w:name w:val="WW8Num13z01"/>
    <w:link w:val="WW8Num13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4z71">
    <w:name w:val="WW8Num4z71"/>
    <w:link w:val="WW8Num4z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110">
    <w:name w:val="Содержимое таблицы1"/>
    <w:basedOn w:val="Normal"/>
    <w:link w:val="Style19"/>
    <w:qFormat/>
    <w:pPr/>
    <w:rPr/>
  </w:style>
  <w:style w:type="paragraph" w:styleId="113">
    <w:name w:val="Заголовок таблицы1"/>
    <w:basedOn w:val="110"/>
    <w:link w:val="Style16"/>
    <w:qFormat/>
    <w:pPr>
      <w:jc w:val="center"/>
    </w:pPr>
    <w:rPr>
      <w:b/>
    </w:rPr>
  </w:style>
  <w:style w:type="paragraph" w:styleId="DefaultParagraphFont1">
    <w:name w:val="Default Paragraph Font1"/>
    <w:link w:val="DefaultParagraphFont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FootnoteReference41">
    <w:name w:val="Footnote Reference41"/>
    <w:link w:val="FootnoteReference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114">
    <w:name w:val="Текст концевой сноски Знак1"/>
    <w:link w:val="Style1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2z71">
    <w:name w:val="WW8Num12z71"/>
    <w:link w:val="WW8Num12z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3z11">
    <w:name w:val="WW8Num13z11"/>
    <w:link w:val="WW8Num13z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0z31">
    <w:name w:val="WW8Num10z31"/>
    <w:link w:val="WW8Num10z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4z51">
    <w:name w:val="WW8Num4z51"/>
    <w:link w:val="WW8Num4z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20z21">
    <w:name w:val="WW8Num20z21"/>
    <w:link w:val="WW8Num20z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Wingdings" w:hAnsi="Wingdings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2z51">
    <w:name w:val="WW8Num2z51"/>
    <w:link w:val="WW8Num2z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TOC3">
    <w:name w:val="TOC 3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400" w:right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Caption111112">
    <w:name w:val="Caption111112"/>
    <w:basedOn w:val="Normal"/>
    <w:link w:val="Caption11111"/>
    <w:qFormat/>
    <w:pPr>
      <w:spacing w:before="120" w:after="120"/>
    </w:pPr>
    <w:rPr>
      <w:i/>
      <w:sz w:val="24"/>
    </w:rPr>
  </w:style>
  <w:style w:type="paragraph" w:styleId="WW8Num15z81">
    <w:name w:val="WW8Num15z81"/>
    <w:link w:val="WW8Num15z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4z21">
    <w:name w:val="WW8Num4z21"/>
    <w:link w:val="WW8Num4z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Caption3">
    <w:name w:val="caption3"/>
    <w:basedOn w:val="Normal"/>
    <w:link w:val="Caption2"/>
    <w:qFormat/>
    <w:pPr>
      <w:spacing w:before="120" w:after="120"/>
    </w:pPr>
    <w:rPr>
      <w:i/>
      <w:sz w:val="24"/>
    </w:rPr>
  </w:style>
  <w:style w:type="paragraph" w:styleId="FootnoteReference101">
    <w:name w:val="Footnote Reference101"/>
    <w:link w:val="FootnoteReference1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Caption11111112">
    <w:name w:val="Caption11111112"/>
    <w:basedOn w:val="Normal"/>
    <w:link w:val="Caption1111111"/>
    <w:qFormat/>
    <w:pPr>
      <w:spacing w:before="120" w:after="120"/>
    </w:pPr>
    <w:rPr>
      <w:i/>
      <w:sz w:val="24"/>
    </w:rPr>
  </w:style>
  <w:style w:type="paragraph" w:styleId="WW8Num6z71">
    <w:name w:val="WW8Num6z71"/>
    <w:link w:val="WW8Num6z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6z21">
    <w:name w:val="WW8Num6z21"/>
    <w:link w:val="WW8Num6z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z11">
    <w:name w:val="WW8Num1z11"/>
    <w:link w:val="WW8Num1z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7z51">
    <w:name w:val="WW8Num7z51"/>
    <w:link w:val="WW8Num7z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EndnoteReference14">
    <w:name w:val="Endnote Reference14"/>
    <w:link w:val="EndnoteReference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15z21">
    <w:name w:val="WW8Num15z21"/>
    <w:link w:val="WW8Num15z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1z61">
    <w:name w:val="WW8Num11z61"/>
    <w:link w:val="WW8Num11z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Caption11111111112">
    <w:name w:val="Caption11111111112"/>
    <w:basedOn w:val="Normal"/>
    <w:link w:val="Caption1111111111"/>
    <w:qFormat/>
    <w:pPr>
      <w:spacing w:before="120" w:after="120"/>
    </w:pPr>
    <w:rPr>
      <w:i/>
      <w:sz w:val="24"/>
    </w:rPr>
  </w:style>
  <w:style w:type="paragraph" w:styleId="WW8Num7z01">
    <w:name w:val="WW8Num7z01"/>
    <w:link w:val="WW8Num7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7z31">
    <w:name w:val="WW8Num7z31"/>
    <w:link w:val="WW8Num7z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6z11">
    <w:name w:val="WW8Num16z11"/>
    <w:link w:val="WW8Num16z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Caption111111112">
    <w:name w:val="Caption111111112"/>
    <w:basedOn w:val="Normal"/>
    <w:link w:val="Caption11111111"/>
    <w:qFormat/>
    <w:pPr>
      <w:spacing w:before="120" w:after="120"/>
    </w:pPr>
    <w:rPr>
      <w:i/>
      <w:sz w:val="24"/>
    </w:rPr>
  </w:style>
  <w:style w:type="paragraph" w:styleId="WW8Num11z81">
    <w:name w:val="WW8Num11z81"/>
    <w:link w:val="WW8Num11z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8z21">
    <w:name w:val="WW8Num8z21"/>
    <w:link w:val="WW8Num8z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z31">
    <w:name w:val="WW8Num1z31"/>
    <w:link w:val="WW8Num1z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3z81">
    <w:name w:val="WW8Num13z81"/>
    <w:link w:val="WW8Num13z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8z71">
    <w:name w:val="WW8Num18z71"/>
    <w:link w:val="WW8Num18z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9z61">
    <w:name w:val="WW8Num19z61"/>
    <w:link w:val="WW8Num19z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2z31">
    <w:name w:val="WW8Num12z31"/>
    <w:link w:val="WW8Num12z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EndnoteReference101">
    <w:name w:val="Endnote Reference101"/>
    <w:link w:val="EndnoteReference1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16z81">
    <w:name w:val="WW8Num16z81"/>
    <w:link w:val="WW8Num16z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8z11">
    <w:name w:val="WW8Num18z11"/>
    <w:link w:val="WW8Num18z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7z21">
    <w:name w:val="WW8Num7z21"/>
    <w:link w:val="WW8Num7z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0z61">
    <w:name w:val="WW8Num10z61"/>
    <w:link w:val="WW8Num10z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8z01">
    <w:name w:val="WW8Num18z01"/>
    <w:link w:val="WW8Num18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4z41">
    <w:name w:val="WW8Num14z41"/>
    <w:link w:val="WW8Num14z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115">
    <w:name w:val="Абзац списка1"/>
    <w:basedOn w:val="Normal"/>
    <w:link w:val="Style20"/>
    <w:qFormat/>
    <w:pPr>
      <w:spacing w:before="0" w:after="160"/>
      <w:ind w:hanging="0" w:left="720" w:right="0"/>
      <w:contextualSpacing/>
    </w:pPr>
    <w:rPr/>
  </w:style>
  <w:style w:type="paragraph" w:styleId="WW8Num14z31">
    <w:name w:val="WW8Num14z31"/>
    <w:link w:val="WW8Num14z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EndnoteReference71">
    <w:name w:val="Endnote Reference71"/>
    <w:link w:val="EndnoteReference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6z01">
    <w:name w:val="WW8Num6z01"/>
    <w:link w:val="WW8Num6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4z41">
    <w:name w:val="WW8Num4z41"/>
    <w:link w:val="WW8Num4z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3z61">
    <w:name w:val="WW8Num13z61"/>
    <w:link w:val="WW8Num13z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6z61">
    <w:name w:val="WW8Num16z61"/>
    <w:link w:val="WW8Num16z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6z61">
    <w:name w:val="WW8Num6z61"/>
    <w:link w:val="WW8Num6z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9z51">
    <w:name w:val="WW8Num19z51"/>
    <w:link w:val="WW8Num19z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ConsPlusNonformat11">
    <w:name w:val="ConsPlusNonformat Знак1"/>
    <w:link w:val="ConsPlusNonformat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ourier New" w:hAnsi="Courier New" w:eastAsia="NSimSun" w:cs="Arial"/>
      <w:color w:val="000000"/>
      <w:spacing w:val="0"/>
      <w:kern w:val="0"/>
      <w:sz w:val="16"/>
      <w:szCs w:val="20"/>
      <w:lang w:val="ru-RU" w:eastAsia="zh-CN" w:bidi="hi-IN"/>
    </w:rPr>
  </w:style>
  <w:style w:type="paragraph" w:styleId="WW8Num4z11">
    <w:name w:val="WW8Num4z11"/>
    <w:link w:val="WW8Num4z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2z21">
    <w:name w:val="WW8Num2z21"/>
    <w:link w:val="WW8Num2z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Internetlink">
    <w:name w:val="Internet link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80"/>
      <w:spacing w:val="0"/>
      <w:kern w:val="0"/>
      <w:sz w:val="20"/>
      <w:szCs w:val="20"/>
      <w:u w:val="single"/>
      <w:lang w:val="ru-RU" w:eastAsia="zh-CN" w:bidi="hi-IN"/>
    </w:rPr>
  </w:style>
  <w:style w:type="paragraph" w:styleId="Footnote1">
    <w:name w:val="Footnote1"/>
    <w:basedOn w:val="Normal"/>
    <w:link w:val="Footnote"/>
    <w:qFormat/>
    <w:pPr>
      <w:spacing w:lineRule="auto" w:line="240" w:before="0" w:after="0"/>
    </w:pPr>
    <w:rPr>
      <w:sz w:val="20"/>
    </w:rPr>
  </w:style>
  <w:style w:type="paragraph" w:styleId="WW8Num14z81">
    <w:name w:val="WW8Num14z81"/>
    <w:link w:val="WW8Num14z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TOC1">
    <w:name w:val="TOC 1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NSimSun" w:cs="Arial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WW8Num15z31">
    <w:name w:val="WW8Num15z31"/>
    <w:link w:val="WW8Num15z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116">
    <w:name w:val="Прижатый влево1"/>
    <w:basedOn w:val="Normal"/>
    <w:next w:val="Normal"/>
    <w:link w:val="Style21"/>
    <w:qFormat/>
    <w:pPr>
      <w:widowControl w:val="false"/>
    </w:pPr>
    <w:rPr>
      <w:rFonts w:ascii="Arial" w:hAnsi="Arial"/>
    </w:rPr>
  </w:style>
  <w:style w:type="paragraph" w:styleId="WW8Num17z51">
    <w:name w:val="WW8Num17z51"/>
    <w:link w:val="WW8Num17z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5z11">
    <w:name w:val="WW8Num15z11"/>
    <w:link w:val="WW8Num15z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FootnoteSymbol">
    <w:name w:val="Footnote Symbol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18z41">
    <w:name w:val="WW8Num18z41"/>
    <w:link w:val="WW8Num18z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3z71">
    <w:name w:val="WW8Num3z71"/>
    <w:link w:val="WW8Num3z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FootnoteReference21">
    <w:name w:val="Footnote Reference21"/>
    <w:link w:val="FootnoteReference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7z41">
    <w:name w:val="WW8Num7z41"/>
    <w:link w:val="WW8Num7z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1z51">
    <w:name w:val="WW8Num11z51"/>
    <w:link w:val="WW8Num11z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6z01">
    <w:name w:val="WW8Num16z01"/>
    <w:link w:val="WW8Num16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5z51">
    <w:name w:val="WW8Num15z51"/>
    <w:link w:val="WW8Num15z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5z61">
    <w:name w:val="WW8Num5z61"/>
    <w:link w:val="WW8Num5z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8z51">
    <w:name w:val="WW8Num8z51"/>
    <w:link w:val="WW8Num8z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6z71">
    <w:name w:val="WW8Num16z71"/>
    <w:link w:val="WW8Num16z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TOC9">
    <w:name w:val="TOC 9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1600" w:right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WW8Num6z31">
    <w:name w:val="WW8Num6z31"/>
    <w:link w:val="WW8Num6z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5z81">
    <w:name w:val="WW8Num5z81"/>
    <w:link w:val="WW8Num5z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4z21">
    <w:name w:val="WW8Num14z21"/>
    <w:link w:val="WW8Num14z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117">
    <w:name w:val="Текст выноски Знак1"/>
    <w:link w:val="Style2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Segoe UI" w:hAnsi="Segoe UI" w:eastAsia="NSimSun" w:cs="Arial"/>
      <w:color w:val="000000"/>
      <w:spacing w:val="0"/>
      <w:kern w:val="0"/>
      <w:sz w:val="18"/>
      <w:szCs w:val="20"/>
      <w:lang w:val="ru-RU" w:eastAsia="zh-CN" w:bidi="hi-IN"/>
    </w:rPr>
  </w:style>
  <w:style w:type="paragraph" w:styleId="WW8Num7z81">
    <w:name w:val="WW8Num7z81"/>
    <w:link w:val="WW8Num7z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z21">
    <w:name w:val="WW8Num1z21"/>
    <w:link w:val="WW8Num1z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Caption112">
    <w:name w:val="Caption112"/>
    <w:basedOn w:val="Normal"/>
    <w:link w:val="Caption11"/>
    <w:qFormat/>
    <w:pPr>
      <w:spacing w:before="120" w:after="120"/>
    </w:pPr>
    <w:rPr>
      <w:i/>
      <w:sz w:val="24"/>
    </w:rPr>
  </w:style>
  <w:style w:type="paragraph" w:styleId="211">
    <w:name w:val="Заголовок 2 Знак1"/>
    <w:link w:val="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b/>
      <w:color w:val="000000"/>
      <w:spacing w:val="0"/>
      <w:kern w:val="0"/>
      <w:sz w:val="36"/>
      <w:szCs w:val="20"/>
      <w:lang w:val="ru-RU" w:eastAsia="zh-CN" w:bidi="hi-IN"/>
    </w:rPr>
  </w:style>
  <w:style w:type="paragraph" w:styleId="WW8Num19z31">
    <w:name w:val="WW8Num19z31"/>
    <w:link w:val="WW8Num19z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9z01">
    <w:name w:val="WW8Num19z01"/>
    <w:link w:val="WW8Num19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3z61">
    <w:name w:val="WW8Num3z61"/>
    <w:link w:val="WW8Num3z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TOC8">
    <w:name w:val="TOC 8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1400" w:right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WW8Num8z01">
    <w:name w:val="WW8Num8z01"/>
    <w:link w:val="WW8Num8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0z21">
    <w:name w:val="WW8Num10z21"/>
    <w:link w:val="WW8Num10z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5z41">
    <w:name w:val="WW8Num15z41"/>
    <w:link w:val="WW8Num15z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3z21">
    <w:name w:val="WW8Num13z21"/>
    <w:link w:val="WW8Num13z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FootnoteReference14">
    <w:name w:val="Footnote Reference14"/>
    <w:link w:val="FootnoteReference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EndnoteReference111">
    <w:name w:val="Endnote Reference111"/>
    <w:link w:val="EndnoteReference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EndnoteSymbol">
    <w:name w:val="Endnote Symbol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12z01">
    <w:name w:val="WW8Num12z01"/>
    <w:link w:val="WW8Num12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EndnoteReference91">
    <w:name w:val="Endnote Reference91"/>
    <w:link w:val="EndnoteReference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16z41">
    <w:name w:val="WW8Num16z41"/>
    <w:link w:val="WW8Num16z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9z21">
    <w:name w:val="WW8Num9z21"/>
    <w:link w:val="WW8Num9z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Wingdings" w:hAnsi="Wingdings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3z21">
    <w:name w:val="WW8Num3z21"/>
    <w:link w:val="WW8Num3z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FootnoteReference91">
    <w:name w:val="Footnote Reference91"/>
    <w:link w:val="FootnoteReference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5z21">
    <w:name w:val="WW8Num5z21"/>
    <w:link w:val="WW8Num5z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9z41">
    <w:name w:val="WW8Num19z41"/>
    <w:link w:val="WW8Num19z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7z11">
    <w:name w:val="WW8Num7z11"/>
    <w:link w:val="WW8Num7z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8z61">
    <w:name w:val="WW8Num18z61"/>
    <w:link w:val="WW8Num18z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TOC5">
    <w:name w:val="TOC 5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800" w:right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WW8Num11z11">
    <w:name w:val="WW8Num11z11"/>
    <w:link w:val="WW8Num11z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EndnoteText">
    <w:name w:val="Endnote Text"/>
    <w:basedOn w:val="Normal"/>
    <w:pPr/>
    <w:rPr>
      <w:sz w:val="20"/>
    </w:rPr>
  </w:style>
  <w:style w:type="paragraph" w:styleId="WW8Num8z81">
    <w:name w:val="WW8Num8z81"/>
    <w:link w:val="WW8Num8z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3z51">
    <w:name w:val="WW8Num3z51"/>
    <w:link w:val="WW8Num3z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3z01">
    <w:name w:val="WW8Num3z01"/>
    <w:link w:val="WW8Num3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b w:val="false"/>
      <w:color w:val="000000"/>
      <w:spacing w:val="0"/>
      <w:kern w:val="0"/>
      <w:sz w:val="20"/>
      <w:szCs w:val="20"/>
      <w:lang w:val="ru-RU" w:eastAsia="zh-CN" w:bidi="hi-IN"/>
    </w:rPr>
  </w:style>
  <w:style w:type="paragraph" w:styleId="EndnoteReference61">
    <w:name w:val="Endnote Reference61"/>
    <w:link w:val="EndnoteReference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18z81">
    <w:name w:val="WW8Num18z81"/>
    <w:link w:val="WW8Num18z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6z11">
    <w:name w:val="WW8Num6z11"/>
    <w:link w:val="WW8Num6z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4z61">
    <w:name w:val="WW8Num14z61"/>
    <w:link w:val="WW8Num14z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FootnoteReference51">
    <w:name w:val="Footnote Reference51"/>
    <w:link w:val="FootnoteReference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11z01">
    <w:name w:val="WW8Num11z01"/>
    <w:link w:val="WW8Num11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b w:val="false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4z51">
    <w:name w:val="WW8Num14z51"/>
    <w:link w:val="WW8Num14z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4z31">
    <w:name w:val="WW8Num4z31"/>
    <w:link w:val="WW8Num4z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0z71">
    <w:name w:val="WW8Num10z71"/>
    <w:link w:val="WW8Num10z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z41">
    <w:name w:val="WW8Num1z41"/>
    <w:link w:val="WW8Num1z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2z71">
    <w:name w:val="WW8Num2z71"/>
    <w:link w:val="WW8Num2z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FootnoteReference131">
    <w:name w:val="Footnote Reference131"/>
    <w:link w:val="FootnoteReference1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3z81">
    <w:name w:val="WW8Num3z81"/>
    <w:link w:val="WW8Num3z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2z81">
    <w:name w:val="WW8Num12z81"/>
    <w:link w:val="WW8Num12z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WW8Num19z11">
    <w:name w:val="WW8Num19z11"/>
    <w:link w:val="WW8Num19z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EndnoteReference121">
    <w:name w:val="Endnote Reference121"/>
    <w:link w:val="EndnoteReference1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Caption13">
    <w:name w:val="Caption13"/>
    <w:basedOn w:val="Normal"/>
    <w:link w:val="Caption12"/>
    <w:qFormat/>
    <w:pPr>
      <w:spacing w:before="120" w:after="120"/>
    </w:pPr>
    <w:rPr>
      <w:i/>
      <w:sz w:val="24"/>
    </w:rPr>
  </w:style>
  <w:style w:type="paragraph" w:styleId="WW8Num14z71">
    <w:name w:val="WW8Num14z71"/>
    <w:link w:val="WW8Num14z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FootnoteReference121">
    <w:name w:val="Footnote Reference121"/>
    <w:link w:val="FootnoteReference1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Subtitle">
    <w:name w:val="Subtitle"/>
    <w:next w:val="Normal"/>
    <w:uiPriority w:val="11"/>
    <w:qFormat/>
    <w:pPr>
      <w:widowControl/>
      <w:suppressAutoHyphens w:val="true"/>
      <w:bidi w:val="0"/>
      <w:spacing w:lineRule="auto" w:line="240" w:before="0" w:after="0"/>
      <w:ind w:hanging="0" w:left="0" w:right="0"/>
      <w:jc w:val="both"/>
    </w:pPr>
    <w:rPr>
      <w:rFonts w:ascii="XO Thames" w:hAnsi="XO Thames" w:eastAsia="NSimSun" w:cs="Arial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WW8Num14z11">
    <w:name w:val="WW8Num14z11"/>
    <w:link w:val="WW8Num14z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4z61">
    <w:name w:val="WW8Num4z61"/>
    <w:link w:val="WW8Num4z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4z81">
    <w:name w:val="WW8Num4z81"/>
    <w:link w:val="WW8Num4z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EndnoteReference51">
    <w:name w:val="Endnote Reference51"/>
    <w:link w:val="EndnoteReference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17z21">
    <w:name w:val="WW8Num17z21"/>
    <w:link w:val="WW8Num17z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20z01">
    <w:name w:val="WW8Num20z01"/>
    <w:link w:val="WW8Num20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Symbol" w:hAnsi="Symbol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6z31">
    <w:name w:val="WW8Num16z31"/>
    <w:link w:val="WW8Num16z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Title">
    <w:name w:val="Title"/>
    <w:next w:val="Normal"/>
    <w:uiPriority w:val="10"/>
    <w:qFormat/>
    <w:pPr>
      <w:widowControl/>
      <w:suppressAutoHyphens w:val="true"/>
      <w:bidi w:val="0"/>
      <w:spacing w:lineRule="auto" w:line="240" w:before="567" w:after="567"/>
      <w:ind w:hanging="0" w:left="0" w:right="0"/>
      <w:jc w:val="center"/>
    </w:pPr>
    <w:rPr>
      <w:rFonts w:ascii="XO Thames" w:hAnsi="XO Thames" w:eastAsia="NSimSun" w:cs="Arial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paragraph" w:styleId="WW8Num12z61">
    <w:name w:val="WW8Num12z61"/>
    <w:link w:val="WW8Num12z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0z51">
    <w:name w:val="WW8Num10z51"/>
    <w:link w:val="WW8Num10z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FootnoteReference61">
    <w:name w:val="Footnote Reference61"/>
    <w:link w:val="FootnoteReference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8z71">
    <w:name w:val="WW8Num8z71"/>
    <w:link w:val="WW8Num8z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EndnoteReference81">
    <w:name w:val="Endnote Reference81"/>
    <w:link w:val="EndnoteReference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10z11">
    <w:name w:val="WW8Num10z11"/>
    <w:link w:val="WW8Num10z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8z31">
    <w:name w:val="WW8Num8z31"/>
    <w:link w:val="WW8Num8z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7z71">
    <w:name w:val="WW8Num17z71"/>
    <w:link w:val="WW8Num17z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Caption11112">
    <w:name w:val="Caption11112"/>
    <w:basedOn w:val="Normal"/>
    <w:link w:val="Caption1111"/>
    <w:qFormat/>
    <w:pPr>
      <w:spacing w:before="120" w:after="120"/>
    </w:pPr>
    <w:rPr>
      <w:i/>
      <w:sz w:val="24"/>
    </w:rPr>
  </w:style>
  <w:style w:type="paragraph" w:styleId="Emphasis1">
    <w:name w:val="Emphasis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i/>
      <w:color w:val="000000"/>
      <w:spacing w:val="0"/>
      <w:kern w:val="0"/>
      <w:sz w:val="20"/>
      <w:szCs w:val="20"/>
      <w:lang w:val="ru-RU" w:eastAsia="zh-CN" w:bidi="hi-IN"/>
    </w:rPr>
  </w:style>
  <w:style w:type="paragraph" w:styleId="WW8Num2z01">
    <w:name w:val="WW8Num2z01"/>
    <w:link w:val="WW8Num2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Symbol" w:hAnsi="Symbol" w:eastAsia="NSimSun" w:cs="Arial"/>
      <w:color w:val="623B2A"/>
      <w:spacing w:val="0"/>
      <w:kern w:val="0"/>
      <w:sz w:val="21"/>
      <w:szCs w:val="20"/>
      <w:lang w:val="ru-RU" w:eastAsia="zh-CN" w:bidi="hi-IN"/>
    </w:rPr>
  </w:style>
  <w:style w:type="paragraph" w:styleId="WW8Num1z61">
    <w:name w:val="WW8Num1z61"/>
    <w:link w:val="WW8Num1z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Caption1111111112">
    <w:name w:val="Caption1111111112"/>
    <w:basedOn w:val="Normal"/>
    <w:link w:val="Caption111111111"/>
    <w:qFormat/>
    <w:pPr>
      <w:spacing w:before="120" w:after="120"/>
    </w:pPr>
    <w:rPr>
      <w:i/>
      <w:sz w:val="24"/>
    </w:rPr>
  </w:style>
  <w:style w:type="paragraph" w:styleId="WW8Num13z41">
    <w:name w:val="WW8Num13z41"/>
    <w:link w:val="WW8Num13z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1z41">
    <w:name w:val="WW8Num11z41"/>
    <w:link w:val="WW8Num11z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4z01">
    <w:name w:val="WW8Num4z01"/>
    <w:link w:val="WW8Num4z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z81">
    <w:name w:val="WW8Num1z81"/>
    <w:link w:val="WW8Num1z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3z41">
    <w:name w:val="WW8Num3z41"/>
    <w:link w:val="WW8Num3z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7z71">
    <w:name w:val="WW8Num7z71"/>
    <w:link w:val="WW8Num7z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2z11">
    <w:name w:val="WW8Num12z11"/>
    <w:link w:val="WW8Num12z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9z81">
    <w:name w:val="WW8Num19z81"/>
    <w:link w:val="WW8Num19z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2z51">
    <w:name w:val="WW8Num12z51"/>
    <w:link w:val="WW8Num12z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ConsPlusNonformat12">
    <w:name w:val="ConsPlusNonformat1"/>
    <w:link w:val="ConsPlusNonformat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ourier New" w:hAnsi="Courier New" w:eastAsia="NSimSun" w:cs="Arial"/>
      <w:color w:val="000000"/>
      <w:spacing w:val="0"/>
      <w:kern w:val="0"/>
      <w:sz w:val="16"/>
      <w:szCs w:val="20"/>
      <w:lang w:val="ru-RU" w:eastAsia="zh-CN" w:bidi="hi-IN"/>
    </w:rPr>
  </w:style>
  <w:style w:type="paragraph" w:styleId="WW8Num18z51">
    <w:name w:val="WW8Num18z51"/>
    <w:link w:val="WW8Num18z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5z11">
    <w:name w:val="WW8Num5z11"/>
    <w:link w:val="WW8Num5z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FootnoteText">
    <w:name w:val="Footnote Text"/>
    <w:basedOn w:val="Normal"/>
    <w:pPr/>
    <w:rPr/>
  </w:style>
  <w:style w:type="paragraph" w:styleId="22">
    <w:name w:val="Содержимое таблицы2"/>
    <w:basedOn w:val="Normal"/>
    <w:qFormat/>
    <w:pPr>
      <w:widowControl w:val="false"/>
      <w:suppressLineNumbers/>
    </w:pPr>
    <w:rPr/>
  </w:style>
  <w:style w:type="paragraph" w:styleId="23">
    <w:name w:val="Заголовок таблицы2"/>
    <w:basedOn w:val="22"/>
    <w:qFormat/>
    <w:pPr>
      <w:suppressLineNumbers/>
      <w:jc w:val="center"/>
    </w:pPr>
    <w:rPr>
      <w:b/>
      <w:bCs/>
    </w:rPr>
  </w:style>
  <w:style w:type="table" w:default="1" w:styleId="Style_2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5A2EF8EACD079119ED2884DB70386C0C1A3DB003C78E17E45637886CDBVE2DH" TargetMode="External"/><Relationship Id="rId3" Type="http://schemas.openxmlformats.org/officeDocument/2006/relationships/hyperlink" Target="consultantplus://offline/ref=5A2EF8EACD079119ED2884DB70386C0C1A3DB003C78E17E45637886CDBVE2DH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 l="0" t="0" r="0" b="0"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Application>LibreOffice/7.6.0.3$Windows_X86_64 LibreOffice_project/69edd8b8ebc41d00b4de3915dc82f8f0fc3b6265</Application>
  <AppVersion>15.0000</AppVersion>
  <Pages>32</Pages>
  <Words>8250</Words>
  <Characters>57401</Characters>
  <CharactersWithSpaces>65063</CharactersWithSpaces>
  <Paragraphs>793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2026-06-17T17:11:58Z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